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D6C23">
      <w:pPr>
        <w:spacing w:after="0" w:line="360" w:lineRule="auto"/>
        <w:ind w:firstLine="567"/>
        <w:jc w:val="center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ascii="Times New Roman" w:hAnsi="Times New Roman" w:eastAsia="Calibri" w:cs="Times New Roman"/>
          <w:sz w:val="28"/>
          <w:lang w:val="ru-RU"/>
        </w:rPr>
        <w:t>Курсовой</w:t>
      </w:r>
      <w:r>
        <w:rPr>
          <w:rFonts w:hint="default" w:ascii="Times New Roman" w:hAnsi="Times New Roman" w:eastAsia="Calibri" w:cs="Times New Roman"/>
          <w:sz w:val="28"/>
          <w:lang w:val="ru-RU"/>
        </w:rPr>
        <w:t xml:space="preserve"> проект на тему</w:t>
      </w:r>
    </w:p>
    <w:p w14:paraId="268E4C69">
      <w:pPr>
        <w:spacing w:after="0" w:line="360" w:lineRule="auto"/>
        <w:ind w:firstLine="567"/>
        <w:jc w:val="center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hint="default" w:ascii="Times New Roman" w:hAnsi="Times New Roman" w:eastAsia="Calibri" w:cs="Times New Roman"/>
          <w:sz w:val="28"/>
          <w:lang w:val="ru-RU"/>
        </w:rPr>
        <w:t>Водоснабжение и водоотведение</w:t>
      </w:r>
    </w:p>
    <w:p w14:paraId="4E81040B">
      <w:pPr>
        <w:spacing w:after="0" w:line="360" w:lineRule="auto"/>
        <w:ind w:firstLine="567"/>
        <w:jc w:val="center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hint="default" w:ascii="Times New Roman" w:hAnsi="Times New Roman" w:eastAsia="Calibri" w:cs="Times New Roman"/>
          <w:sz w:val="28"/>
          <w:lang w:val="ru-RU"/>
        </w:rPr>
        <w:t>Вариант 14</w:t>
      </w:r>
    </w:p>
    <w:p w14:paraId="053725A7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565DA82F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  <w:sectPr>
          <w:footerReference r:id="rId5" w:type="default"/>
          <w:pgSz w:w="11906" w:h="16838"/>
          <w:pgMar w:top="1134" w:right="850" w:bottom="1134" w:left="1701" w:header="708" w:footer="708" w:gutter="0"/>
          <w:cols w:space="708" w:num="1"/>
          <w:titlePg/>
          <w:docGrid w:linePitch="360" w:charSpace="0"/>
        </w:sectPr>
      </w:pPr>
      <w:bookmarkStart w:id="5" w:name="_GoBack"/>
      <w:bookmarkEnd w:id="5"/>
    </w:p>
    <w:p w14:paraId="55C30D64">
      <w:pPr>
        <w:spacing w:after="0" w:line="360" w:lineRule="auto"/>
        <w:ind w:firstLine="567"/>
        <w:jc w:val="center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hint="default" w:ascii="Times New Roman" w:hAnsi="Times New Roman" w:eastAsia="Calibri" w:cs="Times New Roman"/>
          <w:b/>
          <w:bCs/>
          <w:sz w:val="28"/>
          <w:lang w:val="ru-RU"/>
        </w:rPr>
        <w:t>Содержание</w:t>
      </w:r>
    </w:p>
    <w:p w14:paraId="5F616460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67FD2ABA">
      <w:pPr>
        <w:pStyle w:val="21"/>
        <w:keepNext w:val="0"/>
        <w:keepLines w:val="0"/>
        <w:pageBreakBefore w:val="0"/>
        <w:widowControl/>
        <w:tabs>
          <w:tab w:val="right" w:leader="dot" w:pos="93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lang w:val="ru-RU"/>
        </w:rPr>
        <w:instrText xml:space="preserve">TOC \o "1-3" \h \u </w:instrText>
      </w:r>
      <w:r>
        <w:rPr>
          <w:rFonts w:hint="default" w:ascii="Times New Roman" w:hAnsi="Times New Roman" w:eastAsia="Calibri" w:cs="Times New Roman"/>
          <w:sz w:val="28"/>
          <w:lang w:val="ru-RU"/>
        </w:rPr>
        <w:fldChar w:fldCharType="separate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instrText xml:space="preserve"> HYPERLINK \l _Toc9064 </w:instrTex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Введение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PAGEREF _Toc9064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end"/>
      </w:r>
    </w:p>
    <w:p w14:paraId="25FEF435">
      <w:pPr>
        <w:pStyle w:val="21"/>
        <w:keepNext w:val="0"/>
        <w:keepLines w:val="0"/>
        <w:pageBreakBefore w:val="0"/>
        <w:widowControl/>
        <w:tabs>
          <w:tab w:val="right" w:leader="dot" w:pos="93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instrText xml:space="preserve"> HYPERLINK \l _Toc17386 </w:instrTex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Исходные данные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PAGEREF _Toc17386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end"/>
      </w:r>
    </w:p>
    <w:p w14:paraId="21DF72C9">
      <w:pPr>
        <w:pStyle w:val="21"/>
        <w:keepNext w:val="0"/>
        <w:keepLines w:val="0"/>
        <w:pageBreakBefore w:val="0"/>
        <w:widowControl/>
        <w:tabs>
          <w:tab w:val="right" w:leader="dot" w:pos="93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instrText xml:space="preserve"> HYPERLINK \l _Toc29986 </w:instrTex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1. Расчет систем водоснабжения и водоотведения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PAGEREF _Toc29986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end"/>
      </w:r>
    </w:p>
    <w:p w14:paraId="0998FF32">
      <w:pPr>
        <w:pStyle w:val="21"/>
        <w:keepNext w:val="0"/>
        <w:keepLines w:val="0"/>
        <w:pageBreakBefore w:val="0"/>
        <w:widowControl/>
        <w:tabs>
          <w:tab w:val="right" w:leader="dot" w:pos="93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instrText xml:space="preserve"> HYPERLINK \l _Toc25204 </w:instrTex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Заключение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PAGEREF _Toc25204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14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end"/>
      </w:r>
    </w:p>
    <w:p w14:paraId="36C034CD">
      <w:pPr>
        <w:pStyle w:val="21"/>
        <w:keepNext w:val="0"/>
        <w:keepLines w:val="0"/>
        <w:pageBreakBefore w:val="0"/>
        <w:widowControl/>
        <w:tabs>
          <w:tab w:val="right" w:leader="dot" w:pos="93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instrText xml:space="preserve"> HYPERLINK \l _Toc11261 </w:instrTex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Список используемой литературы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PAGEREF _Toc11261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15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fldChar w:fldCharType="end"/>
      </w:r>
    </w:p>
    <w:p w14:paraId="65F56D03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hint="default" w:ascii="Times New Roman" w:hAnsi="Times New Roman" w:eastAsia="Calibri" w:cs="Times New Roman"/>
          <w:lang w:val="ru-RU"/>
        </w:rPr>
        <w:fldChar w:fldCharType="end"/>
      </w:r>
    </w:p>
    <w:p w14:paraId="1EBCC8C1">
      <w:pPr>
        <w:pStyle w:val="2"/>
        <w:bidi w:val="0"/>
        <w:jc w:val="center"/>
        <w:rPr>
          <w:rFonts w:hint="default"/>
          <w:lang w:val="ru-RU"/>
        </w:rPr>
      </w:pPr>
      <w:bookmarkStart w:id="0" w:name="_Toc9064"/>
      <w:r>
        <w:rPr>
          <w:rFonts w:hint="default"/>
          <w:lang w:val="ru-RU"/>
        </w:rPr>
        <w:t>Введение</w:t>
      </w:r>
      <w:bookmarkEnd w:id="0"/>
    </w:p>
    <w:p w14:paraId="592A0E74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5A1C3339">
      <w:pPr>
        <w:suppressAutoHyphens/>
        <w:spacing w:beforeLines="0" w:afterLines="0" w:line="360" w:lineRule="auto"/>
        <w:ind w:firstLine="709"/>
        <w:jc w:val="both"/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</w:pPr>
      <w:r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  <w:t>Водохозяйственная система представляет собой географический комплекс природных и искусственно созданных водных объектов и инженерных сооружений, совместно функционирующих для удовлетворения социальных, экологических и экономических потребностей человека в воде.</w:t>
      </w:r>
    </w:p>
    <w:p w14:paraId="4C61C120">
      <w:pPr>
        <w:suppressAutoHyphens/>
        <w:spacing w:beforeLines="0" w:afterLines="0" w:line="360" w:lineRule="auto"/>
        <w:ind w:firstLine="709"/>
        <w:jc w:val="both"/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</w:pPr>
      <w:r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  <w:t>Водоснабжение - одна из важнейших отраслей техники, направленная на повышение уровня жизни людей, благоустройство населенных пунктов, развитие промышленности и сельского хозяйства. Водоснабжение базируется на использовании природного сырья.</w:t>
      </w:r>
    </w:p>
    <w:p w14:paraId="18AFD29B">
      <w:pPr>
        <w:suppressAutoHyphens/>
        <w:spacing w:beforeLines="0" w:afterLines="0" w:line="360" w:lineRule="auto"/>
        <w:ind w:firstLine="709"/>
        <w:jc w:val="both"/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</w:pPr>
      <w:r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  <w:t>Водоотведение - это комплекс инженерных сооружений и санитарных мероприятий обеспечивающих приём сточных вод от населения и промышленных предприятий, транспортирование и очистку их с последующим сбросом в реку или на рельеф.</w:t>
      </w:r>
    </w:p>
    <w:p w14:paraId="1EDFB3ED">
      <w:pPr>
        <w:suppressAutoHyphens/>
        <w:spacing w:beforeLines="0" w:afterLines="0" w:line="360" w:lineRule="auto"/>
        <w:ind w:firstLine="709"/>
        <w:jc w:val="both"/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</w:pPr>
      <w:r>
        <w:rPr>
          <w:rFonts w:hint="default" w:ascii="Times New Roman CYR" w:hAnsi="Times New Roman CYR" w:eastAsia="Times New Roman CYR"/>
          <w:color w:val="auto"/>
          <w:sz w:val="28"/>
          <w:szCs w:val="24"/>
          <w:lang w:val="ru-RU"/>
        </w:rPr>
        <w:t>Водоснабжение и водоотведение являются важнейшими санитарно техническими системами, которые создаются для обеспечения нормальной жизнедеятельности населения и всех отраслей экономики государства.</w:t>
      </w:r>
    </w:p>
    <w:p w14:paraId="1764A1A3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6283079A">
      <w:pPr>
        <w:pStyle w:val="2"/>
        <w:bidi w:val="0"/>
        <w:jc w:val="center"/>
        <w:rPr>
          <w:rFonts w:hint="default"/>
          <w:lang w:val="ru-RU"/>
        </w:rPr>
      </w:pPr>
      <w:bookmarkStart w:id="1" w:name="_Toc17386"/>
      <w:r>
        <w:rPr>
          <w:rFonts w:hint="default"/>
          <w:lang w:val="ru-RU"/>
        </w:rPr>
        <w:t>Исходные данные</w:t>
      </w:r>
      <w:bookmarkEnd w:id="1"/>
    </w:p>
    <w:p w14:paraId="2066578C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lang w:val="ru-RU"/>
        </w:rPr>
        <w:t>Таблица 1 - Исходные данные</w:t>
      </w:r>
    </w:p>
    <w:tbl>
      <w:tblPr>
        <w:tblStyle w:val="30"/>
        <w:tblW w:w="13041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76"/>
        <w:gridCol w:w="992"/>
        <w:gridCol w:w="993"/>
        <w:gridCol w:w="1417"/>
        <w:gridCol w:w="992"/>
        <w:gridCol w:w="1134"/>
        <w:gridCol w:w="1134"/>
        <w:gridCol w:w="993"/>
        <w:gridCol w:w="1134"/>
        <w:gridCol w:w="1134"/>
        <w:gridCol w:w="992"/>
      </w:tblGrid>
      <w:tr w14:paraId="30D1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</w:trPr>
        <w:tc>
          <w:tcPr>
            <w:tcW w:w="850" w:type="dxa"/>
          </w:tcPr>
          <w:p w14:paraId="4347883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Вариант</w:t>
            </w:r>
          </w:p>
        </w:tc>
        <w:tc>
          <w:tcPr>
            <w:tcW w:w="1276" w:type="dxa"/>
          </w:tcPr>
          <w:p w14:paraId="15D13E1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Вариант плана типового этажа (прил.3) </w:t>
            </w:r>
          </w:p>
        </w:tc>
        <w:tc>
          <w:tcPr>
            <w:tcW w:w="992" w:type="dxa"/>
          </w:tcPr>
          <w:p w14:paraId="7D9E5E5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Этажность здания, м</w:t>
            </w:r>
          </w:p>
        </w:tc>
        <w:tc>
          <w:tcPr>
            <w:tcW w:w="993" w:type="dxa"/>
          </w:tcPr>
          <w:p w14:paraId="50B6BDF4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Расположение город. сетей</w:t>
            </w:r>
          </w:p>
        </w:tc>
        <w:tc>
          <w:tcPr>
            <w:tcW w:w="1417" w:type="dxa"/>
          </w:tcPr>
          <w:p w14:paraId="2D78D51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Высота помещ/толщ перекр,, м</w:t>
            </w:r>
          </w:p>
        </w:tc>
        <w:tc>
          <w:tcPr>
            <w:tcW w:w="992" w:type="dxa"/>
          </w:tcPr>
          <w:p w14:paraId="0A1C264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Высота подвала, м</w:t>
            </w:r>
          </w:p>
        </w:tc>
        <w:tc>
          <w:tcPr>
            <w:tcW w:w="1134" w:type="dxa"/>
          </w:tcPr>
          <w:p w14:paraId="1F97094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Глубина промерзания грунта, м</w:t>
            </w:r>
          </w:p>
        </w:tc>
        <w:tc>
          <w:tcPr>
            <w:tcW w:w="1134" w:type="dxa"/>
          </w:tcPr>
          <w:p w14:paraId="3578D9D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Отметка земли у здания, м</w:t>
            </w:r>
          </w:p>
        </w:tc>
        <w:tc>
          <w:tcPr>
            <w:tcW w:w="993" w:type="dxa"/>
          </w:tcPr>
          <w:p w14:paraId="312A0CC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Отметка пола подвала, м</w:t>
            </w:r>
          </w:p>
        </w:tc>
        <w:tc>
          <w:tcPr>
            <w:tcW w:w="1134" w:type="dxa"/>
          </w:tcPr>
          <w:p w14:paraId="7363C77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Расстояние от гор.водопровода до стены здания,м</w:t>
            </w:r>
          </w:p>
        </w:tc>
        <w:tc>
          <w:tcPr>
            <w:tcW w:w="1134" w:type="dxa"/>
          </w:tcPr>
          <w:p w14:paraId="1BF7605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Отметка верха трубы гор.водопровода,м</w:t>
            </w:r>
          </w:p>
        </w:tc>
        <w:tc>
          <w:tcPr>
            <w:tcW w:w="992" w:type="dxa"/>
          </w:tcPr>
          <w:p w14:paraId="5748423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Гарантируемый напор, м</w:t>
            </w:r>
          </w:p>
        </w:tc>
      </w:tr>
      <w:tr w14:paraId="459A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836F9E">
            <w:pPr>
              <w:widowControl w:val="0"/>
              <w:spacing w:after="0" w:line="21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A9F75B5">
            <w:pPr>
              <w:widowControl w:val="0"/>
              <w:spacing w:after="0" w:line="21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М</w:t>
            </w:r>
          </w:p>
        </w:tc>
        <w:tc>
          <w:tcPr>
            <w:tcW w:w="992" w:type="dxa"/>
            <w:vAlign w:val="center"/>
          </w:tcPr>
          <w:p w14:paraId="0C0E78C4">
            <w:pPr>
              <w:spacing w:after="0" w:line="36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E67B42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8D2684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3,0/0,25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FFADED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D3F93E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28DEB5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75,90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278D9F1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73,70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5A7115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42701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val="en-US" w:bidi="ru-RU"/>
              </w:rPr>
              <w:t>73,4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ABCA18">
            <w:pPr>
              <w:widowControl w:val="0"/>
              <w:spacing w:after="0" w:line="240" w:lineRule="exact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ylfaen" w:cs="Times New Roman"/>
                <w:sz w:val="24"/>
                <w:szCs w:val="24"/>
                <w:shd w:val="clear" w:color="auto" w:fill="FFFFFF"/>
                <w:lang w:bidi="ru-RU"/>
              </w:rPr>
              <w:t>39</w:t>
            </w:r>
          </w:p>
        </w:tc>
      </w:tr>
    </w:tbl>
    <w:p w14:paraId="0905D648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4113E516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5AA90FD1">
      <w:pPr>
        <w:spacing w:after="0" w:line="360" w:lineRule="auto"/>
        <w:ind w:firstLine="567"/>
        <w:jc w:val="center"/>
        <w:rPr>
          <w:rFonts w:ascii="Calibri" w:hAnsi="Calibri" w:eastAsia="Calibri" w:cs="Times New Roman"/>
          <w:lang w:eastAsia="ru-RU"/>
        </w:rPr>
      </w:pPr>
      <w:r>
        <w:rPr>
          <w:rFonts w:ascii="Calibri" w:hAnsi="Calibri" w:eastAsia="Calibri" w:cs="Times New Roman"/>
          <w:lang w:eastAsia="ru-RU"/>
        </w:rPr>
        <w:drawing>
          <wp:inline distT="0" distB="0" distL="0" distR="0">
            <wp:extent cx="3319780" cy="2526665"/>
            <wp:effectExtent l="0" t="0" r="13970" b="6985"/>
            <wp:docPr id="1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780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DB745">
      <w:pPr>
        <w:spacing w:after="0" w:line="360" w:lineRule="auto"/>
        <w:ind w:firstLine="567"/>
        <w:jc w:val="center"/>
        <w:rPr>
          <w:rFonts w:ascii="Calibri" w:hAnsi="Calibri" w:eastAsia="Calibri" w:cs="Times New Roman"/>
          <w:lang w:eastAsia="ru-RU"/>
        </w:rPr>
      </w:pPr>
    </w:p>
    <w:p w14:paraId="03F7DE37">
      <w:pPr>
        <w:spacing w:after="0" w:line="360" w:lineRule="auto"/>
        <w:ind w:firstLine="567"/>
        <w:jc w:val="center"/>
        <w:rPr>
          <w:rFonts w:hint="default" w:ascii="Times New Roman" w:hAnsi="Times New Roman" w:eastAsia="Calibri" w:cs="Times New Roman"/>
          <w:sz w:val="28"/>
          <w:szCs w:val="28"/>
          <w:lang w:val="en-US" w:eastAsia="ru-RU"/>
        </w:rPr>
        <w:sectPr>
          <w:pgSz w:w="16838" w:h="11906" w:orient="landscape"/>
          <w:pgMar w:top="1701" w:right="1134" w:bottom="850" w:left="1134" w:header="708" w:footer="708" w:gutter="0"/>
          <w:cols w:space="708" w:num="1"/>
          <w:docGrid w:linePitch="360" w:charSpace="0"/>
        </w:sectPr>
      </w:pPr>
      <w:r>
        <w:rPr>
          <w:rFonts w:hint="default" w:ascii="Times New Roman" w:hAnsi="Times New Roman" w:eastAsia="Calibri" w:cs="Times New Roman"/>
          <w:sz w:val="28"/>
          <w:szCs w:val="28"/>
          <w:lang w:eastAsia="ru-RU"/>
        </w:rPr>
        <w:t>Рис</w:t>
      </w:r>
      <w:r>
        <w:rPr>
          <w:rFonts w:hint="default" w:ascii="Times New Roman" w:hAnsi="Times New Roman" w:eastAsia="Calibri" w:cs="Times New Roman"/>
          <w:sz w:val="28"/>
          <w:szCs w:val="28"/>
          <w:lang w:val="en-US" w:eastAsia="ru-RU"/>
        </w:rPr>
        <w:t>.1 - План типового этажа</w:t>
      </w:r>
    </w:p>
    <w:p w14:paraId="26747C7C">
      <w:pPr>
        <w:spacing w:after="0" w:line="360" w:lineRule="auto"/>
        <w:ind w:firstLine="567"/>
        <w:jc w:val="both"/>
        <w:rPr>
          <w:rFonts w:hint="default" w:ascii="Times New Roman" w:hAnsi="Times New Roman" w:eastAsia="Calibri" w:cs="Times New Roman"/>
          <w:sz w:val="28"/>
          <w:lang w:val="ru-RU"/>
        </w:rPr>
      </w:pPr>
    </w:p>
    <w:p w14:paraId="57C1D18A">
      <w:pPr>
        <w:pStyle w:val="2"/>
        <w:numPr>
          <w:ilvl w:val="0"/>
          <w:numId w:val="1"/>
        </w:numPr>
        <w:bidi w:val="0"/>
        <w:rPr>
          <w:rFonts w:hint="default"/>
          <w:lang w:val="en-US" w:eastAsia="ru-RU"/>
        </w:rPr>
      </w:pPr>
      <w:bookmarkStart w:id="2" w:name="_Toc29986"/>
      <w:r>
        <w:rPr>
          <w:rFonts w:hint="default"/>
          <w:lang w:val="en-US" w:eastAsia="ru-RU"/>
        </w:rPr>
        <w:t>Расчет систем водоснабжения и водоотведения</w:t>
      </w:r>
      <w:bookmarkEnd w:id="2"/>
    </w:p>
    <w:p w14:paraId="7EAEB788">
      <w:pPr>
        <w:pStyle w:val="28"/>
        <w:numPr>
          <w:ilvl w:val="0"/>
          <w:numId w:val="2"/>
        </w:numPr>
        <w:spacing w:after="0" w:line="360" w:lineRule="auto"/>
        <w:ind w:left="360" w:left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«Определить число приборов и число потребителей исходя из жилой площади здания по формуле:</w:t>
      </w:r>
    </w:p>
    <w:p w14:paraId="09B510F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Количество жителей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определяется по формуле</w:t>
      </w:r>
    </w:p>
    <w:tbl>
      <w:tblPr>
        <w:tblStyle w:val="12"/>
        <w:tblW w:w="96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4322"/>
        <w:gridCol w:w="2533"/>
      </w:tblGrid>
      <w:tr w14:paraId="0989A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04" w:type="dxa"/>
          </w:tcPr>
          <w:p w14:paraId="50F87BA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14:paraId="0CE548B7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30"/>
                <w:sz w:val="28"/>
                <w:szCs w:val="28"/>
                <w:lang w:eastAsia="ru-RU"/>
              </w:rPr>
              <w:object>
                <v:shape id="_x0000_i1025" o:spt="75" type="#_x0000_t75" style="height:33.75pt;width:36pt;" o:ole="t" fillcolor="#FFFFFF" filled="t" coordsize="21600,21600">
                  <v:path/>
                  <v:fill on="t" focussize="0,0"/>
                  <v:stroke/>
                  <v:imagedata r:id="rId9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, 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>чел.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14:paraId="674AC7F0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(1)</w:t>
            </w:r>
          </w:p>
        </w:tc>
      </w:tr>
    </w:tbl>
    <w:p w14:paraId="03EDFF3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F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жилая площадь в здании,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м</w:t>
      </w: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3872DF0B">
      <w:pPr>
        <w:pStyle w:val="28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f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санитарная норма в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м</w:t>
      </w: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1 человека, принимается 12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6F2EF02E">
      <w:pPr>
        <w:pStyle w:val="28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6748B73">
      <w:pPr>
        <w:pStyle w:val="28"/>
        <w:numPr>
          <w:ilvl w:val="0"/>
          <w:numId w:val="2"/>
        </w:numPr>
        <w:spacing w:after="0" w:line="360" w:lineRule="auto"/>
        <w:ind w:left="360" w:leftChars="0" w:firstLine="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расчетные расходы воды» </w:t>
      </w:r>
      <w:r>
        <w:rPr>
          <w:rFonts w:ascii="Times New Roman" w:hAnsi="Times New Roman" w:eastAsia="Calibri" w:cs="Times New Roman"/>
          <w:sz w:val="28"/>
          <w:szCs w:val="28"/>
        </w:rPr>
        <w:t>[5].</w:t>
      </w:r>
    </w:p>
    <w:p w14:paraId="752F3C42">
      <w:pPr>
        <w:pStyle w:val="1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Сети внутреннего водопровода рассчитываются на пропуск расчетных секундных расходов воды ко всем водоразборным устройствам в здании. Показателем нормальной работы сети служит подача нормативного расхода к диктующему водоразборному устройству (наиболее высоко и далеко расположенному) от ввода водопровода в здание.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степени благоустройства проектируемого жилого здания (наличие централизованного холодного и горячего водоснабжения, с ваннами длиной от 1500 мм, оборудованными душами) нормы расхода воды составят выбираются по табл. А.2 СП 30.13330.2020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4E00A9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.1. «Средний суточный расход холодной воды:</w:t>
      </w:r>
    </w:p>
    <w:tbl>
      <w:tblPr>
        <w:tblStyle w:val="12"/>
        <w:tblW w:w="96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3"/>
        <w:gridCol w:w="4319"/>
        <w:gridCol w:w="2531"/>
      </w:tblGrid>
      <w:tr w14:paraId="0CF22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803" w:type="dxa"/>
          </w:tcPr>
          <w:p w14:paraId="2F4FEDF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14:paraId="46914F1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24"/>
                <w:sz w:val="28"/>
                <w:szCs w:val="28"/>
                <w:lang w:eastAsia="ru-RU"/>
              </w:rPr>
              <w:object>
                <v:shape id="_x0000_i1026" o:spt="75" type="#_x0000_t75" style="height:33pt;width:59.25pt;" o:ole="t" filled="f" coordsize="21600,21600">
                  <v:path/>
                  <v:fill on="f" focussize="0,0"/>
                  <v:stroke/>
                  <v:imagedata r:id="rId11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1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position w:val="-10"/>
                <w:sz w:val="28"/>
                <w:szCs w:val="28"/>
                <w:lang w:eastAsia="ru-RU"/>
              </w:rPr>
              <w:object>
                <v:shape id="_x0000_i1027" o:spt="75" type="#_x0000_t75" style="height:17.25pt;width:9pt;" o:ole="t" filled="f" coordsize="21600,21600">
                  <v:path/>
                  <v:fill on="f" focussize="0,0"/>
                  <v:stroke/>
                  <v:imagedata r:id="rId13" o:title=""/>
                  <o:lock v:ext="edit" aspectratio="t"/>
                  <w10:wrap type="none"/>
                  <w10:anchorlock/>
                </v:shape>
                <o:OLEObject Type="Embed" ProgID="Equation.3" ShapeID="_x0000_i1027" DrawAspect="Content" ObjectID="_1468075727" r:id="rId1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-22"/>
                <w:sz w:val="28"/>
                <w:szCs w:val="28"/>
                <w:lang w:eastAsia="ru-RU"/>
              </w:rPr>
              <w:object>
                <v:shape id="_x0000_i1028" o:spt="75" type="#_x0000_t75" style="height:27.75pt;width:40.5pt;" o:ole="t" fillcolor="#FFFFFF" filled="t" coordsize="21600,21600">
                  <v:path/>
                  <v:fill on="t" focussize="0,0"/>
                  <v:stroke/>
                  <v:imagedata r:id="rId15" o:title=""/>
                  <o:lock v:ext="edit" aspectratio="t"/>
                  <w10:wrap type="none"/>
                  <w10:anchorlock/>
                </v:shape>
                <o:OLEObject Type="Embed" ProgID="Equation.3" ShapeID="_x0000_i1028" DrawAspect="Content" ObjectID="_1468075728" r:id="rId1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14:paraId="5350A95F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(2)</w:t>
            </w:r>
          </w:p>
        </w:tc>
      </w:tr>
    </w:tbl>
    <w:p w14:paraId="4BFBCA08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position w:val="-12"/>
          <w:sz w:val="28"/>
          <w:szCs w:val="28"/>
          <w:lang w:val="en-US" w:eastAsia="ru-RU"/>
        </w:rPr>
        <w:object>
          <v:shape id="_x0000_i1029" o:spt="75" type="#_x0000_t75" style="height:18.75pt;width:14.25pt;" o:ole="t" filled="f" coordsize="21600,21600">
            <v:path/>
            <v:fill on="f" focussize="0,0"/>
            <v:stroke/>
            <v:imagedata r:id="rId17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норма расхода холодной воды потребителем в сутки наибольшего водопотребления, </w:t>
      </w:r>
      <w:r>
        <w:rPr>
          <w:rFonts w:ascii="Times New Roman" w:hAnsi="Times New Roman" w:eastAsia="Times New Roman" w:cs="Times New Roman"/>
          <w:position w:val="-22"/>
          <w:sz w:val="28"/>
          <w:szCs w:val="28"/>
          <w:lang w:eastAsia="ru-RU"/>
        </w:rPr>
        <w:object>
          <v:shape id="_x0000_i1030" o:spt="75" type="#_x0000_t75" style="height:25.5pt;width:33.75pt;" o:ole="t" fillcolor="#FFFFFF" filled="t" coordsize="21600,21600">
            <v:path/>
            <v:fill on="t" focussize="0,0"/>
            <v:stroke/>
            <v:imagedata r:id="rId19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3A91C5BF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-6"/>
          <w:sz w:val="28"/>
          <w:szCs w:val="28"/>
          <w:lang w:eastAsia="ru-RU"/>
        </w:rPr>
        <w:object>
          <v:shape id="_x0000_i1031" o:spt="75" type="#_x0000_t75" style="height:14.25pt;width:12.75pt;" o:ole="t" fillcolor="#FFFFFF" filled="t" coordsize="21600,21600">
            <v:path/>
            <v:fill on="t" focussize="0,0"/>
            <v:stroke/>
            <v:imagedata r:id="rId21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число жителей в здании, определяется по формуле (1).</w:t>
      </w:r>
    </w:p>
    <w:p w14:paraId="542F7517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.2. Максимальный секундный расход холодной воды:</w:t>
      </w:r>
    </w:p>
    <w:tbl>
      <w:tblPr>
        <w:tblStyle w:val="12"/>
        <w:tblW w:w="96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3"/>
        <w:gridCol w:w="4319"/>
        <w:gridCol w:w="2531"/>
      </w:tblGrid>
      <w:tr w14:paraId="51154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803" w:type="dxa"/>
          </w:tcPr>
          <w:p w14:paraId="16B0CEB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14:paraId="4DBA438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4"/>
                <w:sz w:val="28"/>
                <w:szCs w:val="28"/>
                <w:lang w:eastAsia="ru-RU"/>
              </w:rPr>
              <w:object>
                <v:shape id="_x0000_i1032" o:spt="75" type="#_x0000_t75" style="height:19.5pt;width:67.5pt;" o:ole="t" filled="f" coordsize="21600,21600">
                  <v:path/>
                  <v:fill on="f" focussize="0,0"/>
                  <v:stroke/>
                  <v:imagedata r:id="rId23" o:title=""/>
                  <o:lock v:ext="edit" aspectratio="t"/>
                  <w10:wrap type="none"/>
                  <w10:anchorlock/>
                </v:shape>
                <o:OLEObject Type="Embed" ProgID="Equation.3" ShapeID="_x0000_i1032" DrawAspect="Content" ObjectID="_1468075732" r:id="rId2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, </w:t>
            </w:r>
            <w:r>
              <w:rPr>
                <w:rFonts w:ascii="Times New Roman" w:hAnsi="Times New Roman" w:eastAsia="Times New Roman" w:cs="Times New Roman"/>
                <w:position w:val="-18"/>
                <w:sz w:val="28"/>
                <w:szCs w:val="28"/>
                <w:lang w:eastAsia="ru-RU"/>
              </w:rPr>
              <w:object>
                <v:shape id="_x0000_i1033" o:spt="75" type="#_x0000_t75" style="height:24pt;width:18.75pt;" o:ole="t" fillcolor="#FFFFFF" filled="t" coordsize="21600,21600">
                  <v:path/>
                  <v:fill on="t" focussize="0,0"/>
                  <v:stroke/>
                  <v:imagedata r:id="rId25" o:title=""/>
                  <o:lock v:ext="edit" aspectratio="t"/>
                  <w10:wrap type="none"/>
                  <w10:anchorlock/>
                </v:shape>
                <o:OLEObject Type="Embed" ProgID="Equation.3" ShapeID="_x0000_i1033" DrawAspect="Content" ObjectID="_1468075733" r:id="rId2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14:paraId="0C4960E2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(3)</w:t>
            </w:r>
          </w:p>
        </w:tc>
      </w:tr>
    </w:tbl>
    <w:p w14:paraId="72C8FB6C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position w:val="-12"/>
          <w:sz w:val="28"/>
          <w:szCs w:val="28"/>
          <w:lang w:eastAsia="ru-RU"/>
        </w:rPr>
        <w:object>
          <v:shape id="_x0000_i1034" o:spt="75" type="#_x0000_t75" style="height:18.75pt;width:14.25pt;" o:ole="t" filled="f" coordsize="21600,21600">
            <v:path/>
            <v:fill on="f" focussize="0,0"/>
            <v:stroke/>
            <v:imagedata r:id="rId27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секундный расход холодной воды прибором с максимальным расходом, </w:t>
      </w:r>
      <w:r>
        <w:rPr>
          <w:rFonts w:ascii="Times New Roman" w:hAnsi="Times New Roman" w:eastAsia="Times New Roman" w:cs="Times New Roman"/>
          <w:position w:val="-18"/>
          <w:sz w:val="28"/>
          <w:szCs w:val="28"/>
          <w:lang w:eastAsia="ru-RU"/>
        </w:rPr>
        <w:object>
          <v:shape id="_x0000_i1035" o:spt="75" type="#_x0000_t75" style="height:24pt;width:18.75pt;" o:ole="t" fillcolor="#FFFFFF" filled="t" coordsize="21600,21600">
            <v:path/>
            <v:fill on="t" focussize="0,0"/>
            <v:stroke/>
            <v:imagedata r:id="rId25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определяемый по приложению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3576A8D6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sym w:font="Symbol" w:char="F061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коэффициент, определяемый согласно Приложению 5 в зависимости от общего числа приборов </w:t>
      </w: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расчетном участке сети и вероятности их действия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Р</w:t>
      </w: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вычисляемой по формуле (4). </w:t>
      </w:r>
    </w:p>
    <w:p w14:paraId="2746BA28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Вероятность действия санитарно-технических приборов:</w:t>
      </w:r>
    </w:p>
    <w:tbl>
      <w:tblPr>
        <w:tblStyle w:val="12"/>
        <w:tblW w:w="97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2"/>
        <w:gridCol w:w="4349"/>
        <w:gridCol w:w="2548"/>
      </w:tblGrid>
      <w:tr w14:paraId="2716D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2822" w:type="dxa"/>
          </w:tcPr>
          <w:p w14:paraId="1FEB4FF3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9" w:type="dxa"/>
          </w:tcPr>
          <w:p w14:paraId="272E26D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30"/>
                <w:sz w:val="28"/>
                <w:szCs w:val="28"/>
                <w:lang w:eastAsia="ru-RU"/>
              </w:rPr>
              <w:object>
                <v:shape id="_x0000_i1036" o:spt="75" type="#_x0000_t75" style="height:36.75pt;width:88.5pt;" o:ole="t" fillcolor="#FFFFFF" filled="t" coordsize="21600,21600">
                  <v:path/>
                  <v:fill on="t" focussize="0,0"/>
                  <v:stroke/>
                  <v:imagedata r:id="rId30" o:title=""/>
                  <o:lock v:ext="edit" aspectratio="t"/>
                  <w10:wrap type="none"/>
                  <w10:anchorlock/>
                </v:shape>
                <o:OLEObject Type="Embed" ProgID="Equation.3" ShapeID="_x0000_i1036" DrawAspect="Content" ObjectID="_1468075736" r:id="rId2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48" w:type="dxa"/>
            <w:vAlign w:val="center"/>
          </w:tcPr>
          <w:p w14:paraId="0EDA24C9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(4)</w:t>
            </w:r>
          </w:p>
        </w:tc>
      </w:tr>
    </w:tbl>
    <w:p w14:paraId="4E2EEEE0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position w:val="-10"/>
          <w:sz w:val="28"/>
          <w:szCs w:val="28"/>
          <w:lang w:eastAsia="ru-RU"/>
        </w:rPr>
        <w:object>
          <v:shape id="_x0000_i1037" o:spt="75" type="#_x0000_t75" style="height:17.25pt;width:9pt;" o:ole="t" filled="f" coordsize="21600,21600">
            <v:path/>
            <v:fill on="f" focussize="0,0"/>
            <v:stroke/>
            <v:imagedata r:id="rId13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position w:val="-14"/>
          <w:sz w:val="28"/>
          <w:szCs w:val="28"/>
          <w:lang w:eastAsia="ru-RU"/>
        </w:rPr>
        <w:object>
          <v:shape id="_x0000_i1038" o:spt="75" type="#_x0000_t75" style="height:19.5pt;width:23.25pt;" o:ole="t" filled="f" coordsize="21600,21600">
            <v:path/>
            <v:fill on="f" focussize="0,0"/>
            <v:stroke/>
            <v:imagedata r:id="rId33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норма расхода холодной воды, </w:t>
      </w:r>
      <w:r>
        <w:rPr>
          <w:rFonts w:ascii="Times New Roman" w:hAnsi="Times New Roman" w:eastAsia="Times New Roman" w:cs="Times New Roman"/>
          <w:position w:val="-18"/>
          <w:sz w:val="28"/>
          <w:szCs w:val="28"/>
          <w:lang w:eastAsia="ru-RU"/>
        </w:rPr>
        <w:object>
          <v:shape id="_x0000_i1039" o:spt="75" type="#_x0000_t75" style="height:24pt;width:29.25pt;" o:ole="t" fillcolor="#FFFFFF" filled="t" coordsize="21600,21600">
            <v:path/>
            <v:fill on="t" focussize="0,0"/>
            <v:stroke/>
            <v:imagedata r:id="rId35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одним потребителем в час наибольшего водопотребления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</w:p>
    <w:p w14:paraId="548B724E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общее число приборов в здании;</w:t>
      </w:r>
    </w:p>
    <w:p w14:paraId="7F3F2AE5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число жителей в здании.</w:t>
      </w:r>
    </w:p>
    <w:p w14:paraId="5F552178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.3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Максимальный часовой расход холодной воды: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4322"/>
        <w:gridCol w:w="2533"/>
      </w:tblGrid>
      <w:tr w14:paraId="19DC5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804" w:type="dxa"/>
          </w:tcPr>
          <w:p w14:paraId="0518922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14:paraId="544A210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20"/>
                <w:sz w:val="28"/>
                <w:szCs w:val="28"/>
                <w:lang w:eastAsia="ru-RU"/>
              </w:rPr>
              <w:object>
                <v:shape id="_x0000_i1040" o:spt="75" type="#_x0000_t75" style="height:25.5pt;width:132pt;" o:ole="t" filled="f" coordsize="21600,21600">
                  <v:path/>
                  <v:fill on="f" focussize="0,0"/>
                  <v:stroke/>
                  <v:imagedata r:id="rId37" o:title=""/>
                  <o:lock v:ext="edit" aspectratio="t"/>
                  <w10:wrap type="none"/>
                  <w10:anchorlock/>
                </v:shape>
                <o:OLEObject Type="Embed" ProgID="Equation.3" ShapeID="_x0000_i1040" DrawAspect="Content" ObjectID="_1468075740" r:id="rId3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>/час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14:paraId="19EE3AC3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(5)</w:t>
            </w:r>
          </w:p>
        </w:tc>
      </w:tr>
    </w:tbl>
    <w:p w14:paraId="5A2025D0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position w:val="-14"/>
          <w:sz w:val="28"/>
          <w:szCs w:val="28"/>
          <w:lang w:eastAsia="ru-RU"/>
        </w:rPr>
        <w:object>
          <v:shape id="_x0000_i1041" o:spt="75" type="#_x0000_t75" style="height:19.5pt;width:23.25pt;" o:ole="t" filled="f" coordsize="21600,21600">
            <v:path/>
            <v:fill on="f" focussize="0,0"/>
            <v:stroke/>
            <v:imagedata r:id="rId39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расход воды одним прибором в час наибольшего водопотребления, </w:t>
      </w:r>
      <w:r>
        <w:rPr>
          <w:rFonts w:ascii="Times New Roman" w:hAnsi="Times New Roman" w:eastAsia="Times New Roman" w:cs="Times New Roman"/>
          <w:position w:val="-18"/>
          <w:sz w:val="28"/>
          <w:szCs w:val="28"/>
          <w:lang w:eastAsia="ru-RU"/>
        </w:rPr>
        <w:object>
          <v:shape id="_x0000_i1042" o:spt="75" type="#_x0000_t75" style="height:24pt;width:29.25pt;" o:ole="t" fillcolor="#FFFFFF" filled="t" coordsize="21600,21600">
            <v:path/>
            <v:fill on="t" focussize="0,0"/>
            <v:stroke/>
            <v:imagedata r:id="rId41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принимается по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43CC304B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position w:val="-12"/>
          <w:sz w:val="28"/>
          <w:szCs w:val="28"/>
          <w:lang w:eastAsia="ru-RU"/>
        </w:rPr>
        <w:object>
          <v:shape id="_x0000_i1043" o:spt="75" type="#_x0000_t75" style="height:18pt;width:18.75pt;" o:ole="t" filled="f" coordsize="21600,21600">
            <v:path/>
            <v:fill on="f" focussize="0,0"/>
            <v:stroke/>
            <v:imagedata r:id="rId43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коэффициент, определяемый по Приложению 5, в зависимости от </w:t>
      </w: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position w:val="-12"/>
          <w:sz w:val="28"/>
          <w:szCs w:val="28"/>
          <w:lang w:val="en-US" w:eastAsia="ru-RU"/>
        </w:rPr>
        <w:object>
          <v:shape id="_x0000_i1044" o:spt="75" type="#_x0000_t75" style="height:18.75pt;width:17.25pt;" o:ole="t" filled="f" coordsize="21600,21600">
            <v:path/>
            <v:fill on="f" focussize="0,0"/>
            <v:stroke/>
            <v:imagedata r:id="rId45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6A6F1A2B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Вероятность одновременного действия приборов в час:</w:t>
      </w:r>
    </w:p>
    <w:tbl>
      <w:tblPr>
        <w:tblStyle w:val="12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4295"/>
        <w:gridCol w:w="2516"/>
      </w:tblGrid>
      <w:tr w14:paraId="7BD2E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787" w:type="dxa"/>
          </w:tcPr>
          <w:p w14:paraId="1061E0C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197A11B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32"/>
                <w:sz w:val="28"/>
                <w:szCs w:val="28"/>
                <w:lang w:eastAsia="ru-RU"/>
              </w:rPr>
              <w:object>
                <v:shape id="_x0000_i1045" o:spt="75" type="#_x0000_t75" style="height:36.75pt;width:89.25pt;" o:ole="t" filled="f" coordsize="21600,21600">
                  <v:path/>
                  <v:fill on="f" focussize="0,0"/>
                  <v:stroke/>
                  <v:imagedata r:id="rId47" o:title=""/>
                  <o:lock v:ext="edit" aspectratio="t"/>
                  <w10:wrap type="none"/>
                  <w10:anchorlock/>
                </v:shape>
                <o:OLEObject Type="Embed" ProgID="Equation.3" ShapeID="_x0000_i1045" DrawAspect="Content" ObjectID="_1468075745" r:id="rId4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16" w:type="dxa"/>
            <w:vAlign w:val="center"/>
          </w:tcPr>
          <w:p w14:paraId="340C3292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(6)</w:t>
            </w:r>
          </w:p>
        </w:tc>
      </w:tr>
    </w:tbl>
    <w:p w14:paraId="6C4B8046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Р</w:t>
      </w: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val="en-US" w:eastAsia="ru-RU"/>
        </w:rPr>
        <w:t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вероятность одновременного действия санитарно-технических приборов (см. формулу 4);</w:t>
      </w:r>
    </w:p>
    <w:p w14:paraId="01270B27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-12"/>
          <w:sz w:val="28"/>
          <w:szCs w:val="28"/>
          <w:lang w:eastAsia="ru-RU"/>
        </w:rPr>
        <w:object>
          <v:shape id="_x0000_i1046" o:spt="75" type="#_x0000_t75" style="height:18.75pt;width:14.25pt;" o:ole="t" filled="f" coordsize="21600,21600">
            <v:path/>
            <v:fill on="f" focussize="0,0"/>
            <v:stroke/>
            <v:imagedata r:id="rId27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секундный расход холодной воды прибором, л/с, </w:t>
      </w:r>
      <w:r>
        <w:rPr>
          <w:rFonts w:ascii="Times New Roman" w:hAnsi="Times New Roman" w:eastAsia="Calibri" w:cs="Times New Roman"/>
          <w:sz w:val="28"/>
          <w:szCs w:val="28"/>
        </w:rPr>
        <w:t>[3]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5F33DE97">
      <w:pPr>
        <w:spacing w:after="0" w:line="360" w:lineRule="auto"/>
        <w:ind w:left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-14"/>
          <w:sz w:val="28"/>
          <w:szCs w:val="28"/>
          <w:lang w:eastAsia="ru-RU"/>
        </w:rPr>
        <w:object>
          <v:shape id="_x0000_i1047" o:spt="75" type="#_x0000_t75" style="height:19.5pt;width:23.25pt;" o:ole="t" filled="f" coordsize="21600,21600">
            <v:path/>
            <v:fill on="f" focussize="0,0"/>
            <v:stroke/>
            <v:imagedata r:id="rId39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расход воды одним прибором в час наибольшего водопотребления, л/ч,» </w:t>
      </w:r>
      <w:r>
        <w:rPr>
          <w:rFonts w:ascii="Times New Roman" w:hAnsi="Times New Roman" w:eastAsia="Calibri" w:cs="Times New Roman"/>
          <w:sz w:val="28"/>
          <w:szCs w:val="28"/>
        </w:rPr>
        <w:t xml:space="preserve">[5]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принимается также по СП</w:t>
      </w:r>
    </w:p>
    <w:p w14:paraId="50482FB2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Начертить план подвала в М1:100</w:t>
      </w:r>
    </w:p>
    <w:p w14:paraId="134860E4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место расположения узла ввода.</w:t>
      </w:r>
    </w:p>
    <w:p w14:paraId="53B84FCC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Водомерный узел (ВУ) располагается в подвале здания непосредственно за вводом.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 Так как в нем часто устанавливается повысительный насос, его размещают под нежилым помещением (кухня, коридор, СУ).</w:t>
      </w:r>
    </w:p>
    <w:p w14:paraId="648908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водомерного узла входит запорная арматура, фильтр, счётчика, контрольно-спускной кран. Если в здании проектируется один ввод, то обязательно монтируется обводная линия (байпас) с опломбированной в закрытом положении задвижкой. От водомерного узла магистраль прокладывается вдоль внутренней стены подвала. </w:t>
      </w:r>
    </w:p>
    <w:p w14:paraId="1178F949">
      <w:pPr>
        <w:pStyle w:val="28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Times New Roman" w:hAnsi="Times New Roman" w:eastAsia="TimesNewRomanPSMT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Нанести стояки и магистрали водоснабжения на план подвала и </w:t>
      </w:r>
      <w:r>
        <w:rPr>
          <w:rFonts w:ascii="Times New Roman" w:hAnsi="Times New Roman" w:eastAsia="TimesNewRomanPSMT" w:cs="Times New Roman"/>
          <w:sz w:val="28"/>
          <w:szCs w:val="28"/>
        </w:rPr>
        <w:t xml:space="preserve">обозначить их аналогично, как на плане этажа </w:t>
      </w:r>
      <w:r>
        <w:rPr>
          <w:rFonts w:ascii="Times New Roman" w:hAnsi="Times New Roman" w:eastAsia="Calibri" w:cs="Times New Roman"/>
          <w:sz w:val="28"/>
          <w:szCs w:val="28"/>
        </w:rPr>
        <w:t>[2]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560998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Магистральные участки системы водоснабжения крепятся к стенам, под потолком подвала. </w:t>
      </w:r>
      <w:r>
        <w:rPr>
          <w:rFonts w:ascii="Times New Roman" w:hAnsi="Times New Roman" w:cs="Times New Roman"/>
          <w:sz w:val="28"/>
          <w:szCs w:val="28"/>
        </w:rPr>
        <w:t xml:space="preserve">От магистрали водопровода под прямым углом прокладывают ответвления к стоякам. </w:t>
      </w:r>
    </w:p>
    <w:p w14:paraId="1A755C3F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отметки ввода и выпуска. При этом принимается диаметр наружной водопроводной сети 200 мм. Отметка верха трубопровода и расстояние до места врезки от обреза фундамента с заданной стороны здания приведены в Приложении 2.</w:t>
      </w:r>
    </w:p>
    <w:p w14:paraId="42CD30CB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Начертить аксонометрическую схему водоснабжения в М1:100.</w:t>
      </w:r>
    </w:p>
    <w:p w14:paraId="5E5F4433">
      <w:pPr>
        <w:spacing w:after="0" w:line="36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NewRomanPSMT" w:cs="Times New Roman"/>
          <w:sz w:val="28"/>
          <w:szCs w:val="28"/>
        </w:rPr>
        <w:t xml:space="preserve">Схема водопровода вычерчивается в трехмерном пространстве в аксонометрической проекции. «Построение аксонометрической схемы начинается с вычерчивания осей ввода, магистральных сетей, стояков и подводок к водоразборной арматуре. </w:t>
      </w:r>
      <w:r>
        <w:rPr>
          <w:rFonts w:ascii="Times New Roman" w:hAnsi="Times New Roman" w:eastAsia="Calibri" w:cs="Times New Roman"/>
          <w:sz w:val="28"/>
          <w:szCs w:val="28"/>
        </w:rPr>
        <w:t>Аксонометрическая схема вычерчивается так, чтобы все горизонтально расположенные на плане трубопроводы оставались горизонтальными на схеме, а все вертикально расположенные на плане трубопроводы были развернуты на схеме по часовой стрелке на 45</w:t>
      </w:r>
      <w:r>
        <w:rPr>
          <w:rFonts w:ascii="Times New Roman" w:hAnsi="Times New Roman" w:eastAsia="Calibri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eastAsia="Calibri" w:cs="Times New Roman"/>
          <w:sz w:val="28"/>
          <w:szCs w:val="28"/>
        </w:rPr>
        <w:t>. Стояки и водоразборная арматура располагается на схеме вертикально.</w:t>
      </w:r>
    </w:p>
    <w:p w14:paraId="152824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eastAsia="TimesNewRomanPSMT" w:cs="Times New Roman"/>
          <w:sz w:val="28"/>
          <w:szCs w:val="28"/>
        </w:rPr>
      </w:pPr>
      <w:r>
        <w:rPr>
          <w:rFonts w:ascii="Times New Roman" w:hAnsi="Times New Roman" w:eastAsia="TimesNewRomanPSMT" w:cs="Times New Roman"/>
          <w:sz w:val="28"/>
          <w:szCs w:val="28"/>
        </w:rPr>
        <w:t xml:space="preserve">Длины всех сетей, </w:t>
      </w:r>
      <w:r>
        <w:rPr>
          <w:rFonts w:ascii="Times New Roman" w:hAnsi="Times New Roman" w:eastAsia="TimesNewRomanPSMT" w:cs="Times New Roman"/>
          <w:i/>
          <w:sz w:val="28"/>
          <w:szCs w:val="28"/>
        </w:rPr>
        <w:t>без изменения размеров</w:t>
      </w:r>
      <w:r>
        <w:rPr>
          <w:rFonts w:ascii="Times New Roman" w:hAnsi="Times New Roman" w:eastAsia="TimesNewRomanPSMT" w:cs="Times New Roman"/>
          <w:sz w:val="28"/>
          <w:szCs w:val="28"/>
        </w:rPr>
        <w:t xml:space="preserve">, откладываются на осях в масштабе </w:t>
      </w:r>
      <w:r>
        <w:rPr>
          <w:rFonts w:ascii="Times New Roman" w:hAnsi="Times New Roman" w:eastAsia="TimesNewRomanPSMT" w:cs="Times New Roman"/>
          <w:i/>
          <w:sz w:val="28"/>
          <w:szCs w:val="28"/>
        </w:rPr>
        <w:t>планов</w:t>
      </w:r>
      <w:r>
        <w:rPr>
          <w:rFonts w:ascii="Times New Roman" w:hAnsi="Times New Roman" w:eastAsia="TimesNewRomanPSMT" w:cs="Times New Roman"/>
          <w:sz w:val="28"/>
          <w:szCs w:val="28"/>
        </w:rPr>
        <w:t>, причем для определения длин горизонтальных участков используются планы подвала и типового этажа, а для определения длин вертикальных участков – высота подвала, толщина перекрытия, высота этажа, приведенные в Приложении 2.</w:t>
      </w:r>
    </w:p>
    <w:p w14:paraId="4A53EC89">
      <w:pPr>
        <w:spacing w:after="0" w:line="36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На аксонометрической схеме должны быть чётко отображены все трубопроводы, запорная и регулирующая арматура, водоразборные краны, водомерный узел, ввод. Все элементы показываются установленными условными обозначениями согласно ГОСТ [1,2].</w:t>
      </w:r>
    </w:p>
    <w:p w14:paraId="1A1871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eastAsia="TimesNewRomanPSMT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тех случаях, когда близко расположенные стояки на чертеже накладываются друг на друга, следует один из них отнести на свободное место, как бы отсекая стояк у пола первого этажа, точки отсечения соединить прямой пунктирной линией с буквенным обозначением строчной буквы русского алфавита </w:t>
      </w:r>
    </w:p>
    <w:p w14:paraId="1FCB12C7">
      <w:pPr>
        <w:spacing w:after="0" w:line="360" w:lineRule="auto"/>
        <w:ind w:firstLine="709"/>
        <w:jc w:val="both"/>
        <w:rPr>
          <w:rFonts w:ascii="Times New Roman" w:hAnsi="Times New Roman" w:eastAsia="TimesNewRomanPSMT" w:cs="Times New Roman"/>
          <w:sz w:val="28"/>
          <w:szCs w:val="28"/>
        </w:rPr>
      </w:pPr>
      <w:r>
        <w:rPr>
          <w:rFonts w:ascii="Times New Roman" w:hAnsi="Times New Roman" w:eastAsia="TimesNewRomanPSMT" w:cs="Times New Roman"/>
          <w:sz w:val="28"/>
          <w:szCs w:val="28"/>
        </w:rPr>
        <w:t>Водомерный узел располагается на высоте 1,0 м от пола подвала, магистральные трубопроводы прокладываются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 уклоном не менее 0,002 в сторону ввода</w:t>
      </w:r>
      <w:r>
        <w:rPr>
          <w:rFonts w:ascii="Times New Roman" w:hAnsi="Times New Roman" w:eastAsia="TimesNewRomanPSMT" w:cs="Times New Roman"/>
          <w:sz w:val="28"/>
          <w:szCs w:val="28"/>
        </w:rPr>
        <w:t xml:space="preserve"> на расстоянии 0,5 м от потолка подвала, подводки к приборам – на высоте 0,3 м над полом этажа. На подводке в каждую квартиру после запорной арматуры устанавливается прибор учёта – водосчётчик» </w:t>
      </w:r>
      <w:r>
        <w:rPr>
          <w:rFonts w:ascii="Times New Roman" w:hAnsi="Times New Roman" w:eastAsia="Calibri" w:cs="Times New Roman"/>
          <w:sz w:val="28"/>
          <w:szCs w:val="28"/>
        </w:rPr>
        <w:t>[5]</w:t>
      </w:r>
      <w:r>
        <w:rPr>
          <w:rFonts w:ascii="Times New Roman" w:hAnsi="Times New Roman" w:eastAsia="TimesNewRomanPSMT" w:cs="Times New Roman"/>
          <w:sz w:val="28"/>
          <w:szCs w:val="28"/>
        </w:rPr>
        <w:t>. Высота его установки не нормируется, но для удобства монтажа и эксплуатации обычно принимается 1,0 м над уровнем пола этажа.</w:t>
      </w:r>
    </w:p>
    <w:p w14:paraId="5469CCD6">
      <w:pPr>
        <w:spacing w:after="0" w:line="36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Запорная арматура устанавливается в водомерном узле, у основания каждого стояка и на подводках в каждую квартиру вблизи стояка.</w:t>
      </w:r>
    </w:p>
    <w:p w14:paraId="7F74CF98">
      <w:pPr>
        <w:spacing w:after="0" w:line="36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Высота расположение водоразборной арматуры над полом [4]:</w:t>
      </w:r>
    </w:p>
    <w:p w14:paraId="0D27C98D">
      <w:pPr>
        <w:numPr>
          <w:ilvl w:val="0"/>
          <w:numId w:val="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кран водоразборный у кухонной раковины – 1000…1100 мм;</w:t>
      </w:r>
    </w:p>
    <w:p w14:paraId="586D7730">
      <w:pPr>
        <w:numPr>
          <w:ilvl w:val="0"/>
          <w:numId w:val="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общий смеситель ванны и умывальника – 1100 мм;</w:t>
      </w:r>
    </w:p>
    <w:p w14:paraId="6D4A73E9">
      <w:pPr>
        <w:numPr>
          <w:ilvl w:val="0"/>
          <w:numId w:val="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душевая сетка с гибким шлангом – 1850 мм;</w:t>
      </w:r>
    </w:p>
    <w:p w14:paraId="6012D39F">
      <w:pPr>
        <w:numPr>
          <w:ilvl w:val="0"/>
          <w:numId w:val="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поплавковый кран унитаза с бочком «Компакт» - 680мм мм.</w:t>
      </w:r>
    </w:p>
    <w:p w14:paraId="1B048F1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«На каждые 60-70 м периметра здания следует предусматривать по одному поливочному крану…в нишах наружных стен здания»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[3] диаметром 25-32 мм 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>на высоте 0,3 – 0,35 м от уровня отмостки для полива зеленых насаждений.</w:t>
      </w:r>
    </w:p>
    <w:p w14:paraId="2DA9D4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eastAsia="TimesNewRomanPSMT" w:cs="Times New Roman"/>
          <w:sz w:val="28"/>
          <w:szCs w:val="28"/>
        </w:rPr>
      </w:pPr>
      <w:r>
        <w:rPr>
          <w:rFonts w:ascii="Times New Roman" w:hAnsi="Times New Roman" w:eastAsia="TimesNewRomanPSMT" w:cs="Times New Roman"/>
          <w:i/>
          <w:sz w:val="28"/>
          <w:szCs w:val="28"/>
        </w:rPr>
        <w:t>На схеме проставляются</w:t>
      </w:r>
      <w:r>
        <w:rPr>
          <w:rFonts w:ascii="Times New Roman" w:hAnsi="Times New Roman" w:eastAsia="TimesNewRomanPSMT" w:cs="Times New Roman"/>
          <w:sz w:val="28"/>
          <w:szCs w:val="28"/>
        </w:rPr>
        <w:t xml:space="preserve"> отметки земли, этажей, поэтажной подводки к приборам и наиболее удаленного от ввода водоразборного крана.</w:t>
      </w:r>
    </w:p>
    <w:p w14:paraId="0DD8677C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гидравлический расчет системы водоснабжения.</w:t>
      </w:r>
    </w:p>
    <w:p w14:paraId="7D36325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Целью гидравлического расчёта является определение диаметров труб и потерь напора по участкам и в системе водоснабжения здания. </w:t>
      </w:r>
    </w:p>
    <w:p w14:paraId="0445472E">
      <w:pPr>
        <w:spacing w:after="0" w:line="360" w:lineRule="auto"/>
        <w:jc w:val="both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«Порядок гидравлического расчёта:</w:t>
      </w:r>
    </w:p>
    <w:p w14:paraId="0E6E15B3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аксонометрической схеме определить расчетное направление от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диктующего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прибора (самый удалённый и высокорасположенный прибор от ввода - точка 1) до точки присоединения внутреннего водопровода к городской водопроводной сети.</w:t>
      </w:r>
    </w:p>
    <w:p w14:paraId="3CEA4D62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Разбить расчётное направление на расчетные участки. Расчетным участком называется участок трубопровода, где расход не меняется.</w:t>
      </w:r>
    </w:p>
    <w:p w14:paraId="51D3C9A7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Для каждого участка определить количество приборов, расчетный расход, скорость, диаметр и потери напора (Приложение 4).</w:t>
      </w:r>
    </w:p>
    <w:p w14:paraId="056FA70C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Результаты гидравлического расчета сводятся в таблицу 1.</w:t>
      </w:r>
    </w:p>
    <w:p w14:paraId="79B82D02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Таблица1 - Гидравлический расчёт водопровода</w:t>
      </w:r>
    </w:p>
    <w:tbl>
      <w:tblPr>
        <w:tblStyle w:val="12"/>
        <w:tblW w:w="897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31"/>
        <w:gridCol w:w="1030"/>
        <w:gridCol w:w="685"/>
        <w:gridCol w:w="685"/>
        <w:gridCol w:w="600"/>
        <w:gridCol w:w="627"/>
        <w:gridCol w:w="582"/>
        <w:gridCol w:w="790"/>
        <w:gridCol w:w="894"/>
        <w:gridCol w:w="603"/>
        <w:gridCol w:w="790"/>
        <w:gridCol w:w="790"/>
      </w:tblGrid>
      <w:tr w14:paraId="177E1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1F7D490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№ участка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2499D05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 xml:space="preserve">Число приборов </w:t>
            </w:r>
            <w:r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  <w:t>N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526AB73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Вероятность</w:t>
            </w:r>
          </w:p>
          <w:p w14:paraId="5821B67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 xml:space="preserve">одновременного </w:t>
            </w:r>
          </w:p>
          <w:p w14:paraId="0A92495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действия Р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0C69C76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  <w:t>NP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6A80F09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 Greek" w:cs="Times New Roman Greek"/>
                <w:sz w:val="20"/>
                <w:szCs w:val="24"/>
                <w:lang w:eastAsia="en-US"/>
              </w:rPr>
              <w:t>α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2EED9DF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q0, л/с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161439B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 Greek" w:cs="Times New Roman Greek"/>
                <w:sz w:val="20"/>
                <w:szCs w:val="24"/>
                <w:lang w:eastAsia="en-US"/>
              </w:rPr>
              <w:t>q=5αq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0,л/с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5B9AC6F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dтр,мм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5C2E4E5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V,м/с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23D1D52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1000i,мм/м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5945D14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lуч,м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0EB076A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hl=l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уч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 xml:space="preserve">1000i, 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мм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.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вод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.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ст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btLr"/>
            <w:vAlign w:val="top"/>
          </w:tcPr>
          <w:p w14:paraId="295E5C5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val="en-US" w:eastAsia="en-US"/>
              </w:rPr>
            </w:pP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 xml:space="preserve">H=1,3hl, 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мм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.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вод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.</w:t>
            </w:r>
            <w:r>
              <w:rPr>
                <w:rFonts w:hint="default" w:ascii="Times New Roman" w:cs="Times New Roman"/>
                <w:sz w:val="20"/>
                <w:szCs w:val="24"/>
                <w:lang w:eastAsia="en-US"/>
              </w:rPr>
              <w:t>ст</w:t>
            </w:r>
            <w:r>
              <w:rPr>
                <w:rFonts w:hint="default" w:ascii="Times New Roman" w:cs="Times New Roman"/>
                <w:sz w:val="20"/>
                <w:szCs w:val="24"/>
                <w:lang w:val="en-US" w:eastAsia="en-US"/>
              </w:rPr>
              <w:t>.</w:t>
            </w:r>
          </w:p>
        </w:tc>
      </w:tr>
      <w:tr w14:paraId="73F8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D973A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04A17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3443B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47F98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CF240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85A29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6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95C1B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6E24E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FD157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9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E0DAE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1A2EF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11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198D4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C63F4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13</w:t>
            </w:r>
          </w:p>
        </w:tc>
      </w:tr>
      <w:tr w14:paraId="31C26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B474F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1-2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A2659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310BD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D6EE2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0D5C6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7D880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B13D6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B71C2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1CC35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0,9708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17C14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98,5117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19FA9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FB245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111,32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6E718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144,71</w:t>
            </w:r>
          </w:p>
        </w:tc>
      </w:tr>
      <w:tr w14:paraId="790DA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20592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2-3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9D412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66DDB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827BF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0,026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975D4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0,228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92399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10438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0,25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A34D9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25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9AD61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0,9829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CD728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87,9235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430A6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0,23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81CE3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20,222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85FDD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26,289</w:t>
            </w:r>
          </w:p>
        </w:tc>
      </w:tr>
      <w:tr w14:paraId="2704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3797C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3-4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89835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5FFD7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CF4A8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0,039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423E4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0,252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AFD06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F323B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0,28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250E3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25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EFFF2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0,9183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C1136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66,2485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8D2AD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1,04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45A10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68,898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3513E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89,567</w:t>
            </w:r>
          </w:p>
        </w:tc>
      </w:tr>
      <w:tr w14:paraId="6379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2FB3F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4-5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A3BCC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F7392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47473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0,052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3EFA4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0,276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6EC53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8AE46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0,3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CC004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25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15E31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0,9183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DA980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66,2485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E3721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F3A7E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185,49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030B6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241,14</w:t>
            </w:r>
          </w:p>
        </w:tc>
      </w:tr>
      <w:tr w14:paraId="77F6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E95B5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5-6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4B1B1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10BD3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42AE6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0,104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6BD90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0,349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25606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99954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0,38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EA447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15670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0,9467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3FCDE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59,3318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C20E4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40959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166,13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E9B26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215,98</w:t>
            </w:r>
          </w:p>
        </w:tc>
      </w:tr>
      <w:tr w14:paraId="71DB7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95860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6-7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E2606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6535F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17ADA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0,156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7010F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0,405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20A19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C5B5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0,45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DD761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5A4F9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1,0650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63E88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73,3568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67B21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8A491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205,39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61BF8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267,02</w:t>
            </w:r>
          </w:p>
        </w:tc>
      </w:tr>
      <w:tr w14:paraId="4620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3FB58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7-8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A2AA2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16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7F081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70F2E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0,208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41A97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0,458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65021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FA44A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0,5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25563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4E518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1,1834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387E8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88,7444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5715B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09336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248,48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1646C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323,02</w:t>
            </w:r>
          </w:p>
        </w:tc>
      </w:tr>
      <w:tr w14:paraId="22F6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67F86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8-9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1B891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31A73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FE5F8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0,260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C3E6D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0,502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3CBFD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18A6E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0,55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0B39F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32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15E9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1,0207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50690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58,1774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88A33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ED1C6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162,89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D1799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211,76</w:t>
            </w:r>
          </w:p>
        </w:tc>
      </w:tr>
      <w:tr w14:paraId="7CB5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73408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9-10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1A9A4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95AD9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EC554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0,312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A39C50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0,542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C05C0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93D7C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0,6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C0A75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40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7861C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0,9088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AFA35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41,4644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3B0EE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1D3C4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116,1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16934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150,93</w:t>
            </w:r>
          </w:p>
        </w:tc>
      </w:tr>
      <w:tr w14:paraId="71875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2EB46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10-11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D1C42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BF753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C1669A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0,312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ED31E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0,542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C1DE75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38E63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0,6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201F7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40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F3D9AD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0,9088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2C5A0E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41,4644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046B2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0,82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2D549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136,84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420E7B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177,88</w:t>
            </w:r>
          </w:p>
        </w:tc>
      </w:tr>
      <w:tr w14:paraId="7D3EB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7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9DE0F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 xml:space="preserve"> ∑Н= 2679,42</w:t>
            </w:r>
          </w:p>
        </w:tc>
      </w:tr>
      <w:tr w14:paraId="3717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57550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ввод</w:t>
            </w:r>
          </w:p>
        </w:tc>
        <w:tc>
          <w:tcPr>
            <w:tcW w:w="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6FD5E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180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D58EA4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0,013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59694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2,340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9C605F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1,563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45EFFC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0,22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EE4AB6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1,71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2295F1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50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D853B7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0,9918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98FA83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24,7411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7F6FD8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5,0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8A7A12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123,71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3CCEA9">
            <w:pPr>
              <w:widowControl w:val="0"/>
              <w:shd w:val="clear" w:color="000000" w:fill="auto"/>
              <w:spacing w:beforeLines="0" w:after="0" w:afterLines="0" w:line="360" w:lineRule="auto"/>
              <w:jc w:val="both"/>
              <w:rPr>
                <w:rFonts w:hint="default" w:ascii="Times New Roman" w:cs="Times New Roman"/>
                <w:sz w:val="20"/>
                <w:szCs w:val="22"/>
                <w:lang w:eastAsia="en-US"/>
              </w:rPr>
            </w:pPr>
            <w:r>
              <w:rPr>
                <w:rFonts w:hint="default" w:ascii="Times New Roman" w:cs="Times New Roman"/>
                <w:sz w:val="20"/>
                <w:szCs w:val="22"/>
                <w:lang w:eastAsia="en-US"/>
              </w:rPr>
              <w:t>160,82</w:t>
            </w:r>
          </w:p>
        </w:tc>
      </w:tr>
    </w:tbl>
    <w:p w14:paraId="6D1CCEF5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2A75BBA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Таблица 2 – Расчетные параметры крыльчатых водосчетчиков</w:t>
      </w:r>
    </w:p>
    <w:tbl>
      <w:tblPr>
        <w:tblStyle w:val="12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389"/>
        <w:gridCol w:w="1389"/>
        <w:gridCol w:w="1583"/>
        <w:gridCol w:w="1195"/>
        <w:gridCol w:w="1389"/>
        <w:gridCol w:w="1390"/>
      </w:tblGrid>
      <w:tr w14:paraId="31E6A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E0D978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Диаметр условного прохода счетчика,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33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E6184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Параметры</w:t>
            </w:r>
          </w:p>
        </w:tc>
      </w:tr>
      <w:tr w14:paraId="5223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</w:trPr>
        <w:tc>
          <w:tcPr>
            <w:tcW w:w="1281" w:type="dxa"/>
            <w:vMerge w:val="continue"/>
            <w:tcBorders>
              <w:left w:val="single" w:color="auto" w:sz="4" w:space="0"/>
            </w:tcBorders>
            <w:vAlign w:val="center"/>
          </w:tcPr>
          <w:p w14:paraId="075C4CD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gridSpan w:val="3"/>
            <w:vAlign w:val="center"/>
          </w:tcPr>
          <w:p w14:paraId="0E8C78D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Расход воды,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1195" w:type="dxa"/>
            <w:vMerge w:val="restart"/>
            <w:vAlign w:val="center"/>
          </w:tcPr>
          <w:p w14:paraId="1D7078E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порог чувствительности,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/ч, не более</w:t>
            </w:r>
          </w:p>
        </w:tc>
        <w:tc>
          <w:tcPr>
            <w:tcW w:w="1389" w:type="dxa"/>
            <w:vMerge w:val="restart"/>
            <w:vAlign w:val="center"/>
          </w:tcPr>
          <w:p w14:paraId="3E5602A6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максимальный объем воды за сутки,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90" w:type="dxa"/>
            <w:vMerge w:val="restart"/>
            <w:tcBorders>
              <w:right w:val="single" w:color="auto" w:sz="4" w:space="0"/>
            </w:tcBorders>
            <w:vAlign w:val="center"/>
          </w:tcPr>
          <w:p w14:paraId="5D56D3D3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гидравлическое сопротивление счетчика,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 м/(л/с)</w:t>
            </w:r>
          </w:p>
        </w:tc>
      </w:tr>
      <w:tr w14:paraId="7905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1281" w:type="dxa"/>
            <w:vMerge w:val="continue"/>
            <w:tcBorders>
              <w:left w:val="single" w:color="auto" w:sz="4" w:space="0"/>
            </w:tcBorders>
            <w:vAlign w:val="center"/>
          </w:tcPr>
          <w:p w14:paraId="0630838C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6081B1A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1389" w:type="dxa"/>
            <w:vAlign w:val="center"/>
          </w:tcPr>
          <w:p w14:paraId="35E2092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эксплуатационный</w:t>
            </w:r>
          </w:p>
        </w:tc>
        <w:tc>
          <w:tcPr>
            <w:tcW w:w="1583" w:type="dxa"/>
            <w:vAlign w:val="center"/>
          </w:tcPr>
          <w:p w14:paraId="21FD3A3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максимальный</w:t>
            </w:r>
          </w:p>
        </w:tc>
        <w:tc>
          <w:tcPr>
            <w:tcW w:w="1195" w:type="dxa"/>
            <w:vMerge w:val="continue"/>
            <w:vAlign w:val="center"/>
          </w:tcPr>
          <w:p w14:paraId="7815256A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 w:val="continue"/>
            <w:vAlign w:val="center"/>
          </w:tcPr>
          <w:p w14:paraId="300522B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 w:val="continue"/>
            <w:tcBorders>
              <w:right w:val="single" w:color="auto" w:sz="4" w:space="0"/>
            </w:tcBorders>
            <w:vAlign w:val="center"/>
          </w:tcPr>
          <w:p w14:paraId="700E1103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717E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3E438CA9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9" w:type="dxa"/>
          </w:tcPr>
          <w:p w14:paraId="6836C75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389" w:type="dxa"/>
          </w:tcPr>
          <w:p w14:paraId="0E1B9405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583" w:type="dxa"/>
          </w:tcPr>
          <w:p w14:paraId="7F72E0A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5" w:type="dxa"/>
          </w:tcPr>
          <w:p w14:paraId="1D7A031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389" w:type="dxa"/>
          </w:tcPr>
          <w:p w14:paraId="23B7E14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064D9FC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14,5</w:t>
            </w:r>
          </w:p>
        </w:tc>
      </w:tr>
      <w:tr w14:paraId="427A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5C1B22D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89" w:type="dxa"/>
          </w:tcPr>
          <w:p w14:paraId="4C22927B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89" w:type="dxa"/>
          </w:tcPr>
          <w:p w14:paraId="4B4BFA66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3" w:type="dxa"/>
          </w:tcPr>
          <w:p w14:paraId="62BC42D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5" w:type="dxa"/>
          </w:tcPr>
          <w:p w14:paraId="5515F3A8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389" w:type="dxa"/>
          </w:tcPr>
          <w:p w14:paraId="629BA3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35B49A43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5,18</w:t>
            </w:r>
          </w:p>
        </w:tc>
      </w:tr>
      <w:tr w14:paraId="009E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5F52192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9" w:type="dxa"/>
          </w:tcPr>
          <w:p w14:paraId="13B8F78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389" w:type="dxa"/>
          </w:tcPr>
          <w:p w14:paraId="4B4F7BB8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583" w:type="dxa"/>
          </w:tcPr>
          <w:p w14:paraId="4A50E08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5" w:type="dxa"/>
          </w:tcPr>
          <w:p w14:paraId="2B15048B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389" w:type="dxa"/>
          </w:tcPr>
          <w:p w14:paraId="63EF1DE3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215EB57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2,64</w:t>
            </w:r>
          </w:p>
        </w:tc>
      </w:tr>
      <w:tr w14:paraId="489F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61D4959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89" w:type="dxa"/>
          </w:tcPr>
          <w:p w14:paraId="3A19659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89" w:type="dxa"/>
          </w:tcPr>
          <w:p w14:paraId="5EF6308A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3" w:type="dxa"/>
          </w:tcPr>
          <w:p w14:paraId="724C206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5" w:type="dxa"/>
          </w:tcPr>
          <w:p w14:paraId="0D2D9D8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89" w:type="dxa"/>
          </w:tcPr>
          <w:p w14:paraId="49D08F5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7C323B36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14:paraId="3D22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4ACBFFF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89" w:type="dxa"/>
          </w:tcPr>
          <w:p w14:paraId="496FBF9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89" w:type="dxa"/>
          </w:tcPr>
          <w:p w14:paraId="14253DB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583" w:type="dxa"/>
          </w:tcPr>
          <w:p w14:paraId="0C8326D2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5" w:type="dxa"/>
          </w:tcPr>
          <w:p w14:paraId="0CD03B9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389" w:type="dxa"/>
          </w:tcPr>
          <w:p w14:paraId="58AA7E9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1510ABE1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14:paraId="15742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281" w:type="dxa"/>
            <w:tcBorders>
              <w:left w:val="single" w:color="auto" w:sz="4" w:space="0"/>
            </w:tcBorders>
          </w:tcPr>
          <w:p w14:paraId="68D4E299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89" w:type="dxa"/>
          </w:tcPr>
          <w:p w14:paraId="33D660F6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89" w:type="dxa"/>
          </w:tcPr>
          <w:p w14:paraId="355CA726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3" w:type="dxa"/>
          </w:tcPr>
          <w:p w14:paraId="2B3B856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5" w:type="dxa"/>
          </w:tcPr>
          <w:p w14:paraId="5DF40AFF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9" w:type="dxa"/>
          </w:tcPr>
          <w:p w14:paraId="0F0F4C7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390" w:type="dxa"/>
            <w:tcBorders>
              <w:right w:val="single" w:color="auto" w:sz="4" w:space="0"/>
            </w:tcBorders>
          </w:tcPr>
          <w:p w14:paraId="494801A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0,143</w:t>
            </w:r>
          </w:p>
        </w:tc>
      </w:tr>
    </w:tbl>
    <w:p w14:paraId="1C792B6E">
      <w:pPr>
        <w:pStyle w:val="2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8B25F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Рассчитываем среднечасовой расход воды:</w:t>
      </w:r>
    </w:p>
    <w:tbl>
      <w:tblPr>
        <w:tblStyle w:val="12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4295"/>
        <w:gridCol w:w="2516"/>
      </w:tblGrid>
      <w:tr w14:paraId="48EEA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787" w:type="dxa"/>
          </w:tcPr>
          <w:p w14:paraId="01A4555E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15E1CB91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drawing>
                <wp:inline distT="0" distB="0" distL="114300" distR="114300">
                  <wp:extent cx="828675" cy="352425"/>
                  <wp:effectExtent l="0" t="0" r="9525" b="9525"/>
                  <wp:docPr id="38" name="Изображение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Изображение 31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,л/с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16" w:type="dxa"/>
            <w:vAlign w:val="center"/>
          </w:tcPr>
          <w:p w14:paraId="316CFF1E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159C54CC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1865B5F8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180975" cy="238125"/>
            <wp:effectExtent l="0" t="0" r="9525" b="8255"/>
            <wp:docPr id="23" name="Изображение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32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– норма расхода холодной воды, л, потребителем в сутки наибольшего водопотребления;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</w:t>
      </w:r>
      <w:r>
        <w:rPr>
          <w:rFonts w:hint="default" w:ascii="Times New Roman" w:hAnsi="Times New Roman" w:cs="Times New Roman"/>
          <w:sz w:val="28"/>
          <w:szCs w:val="28"/>
        </w:rPr>
        <w:t xml:space="preserve"> – число потребителей;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T</w:t>
      </w:r>
      <w:r>
        <w:rPr>
          <w:rFonts w:hint="default" w:ascii="Times New Roman" w:hAnsi="Times New Roman" w:cs="Times New Roman"/>
          <w:sz w:val="28"/>
          <w:szCs w:val="28"/>
        </w:rPr>
        <w:t xml:space="preserve"> – количество часов в сутках.</w:t>
      </w:r>
    </w:p>
    <w:p w14:paraId="2838D71E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Подбор водомера:</w:t>
      </w:r>
    </w:p>
    <w:p w14:paraId="5DF57C54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4AF2401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1285875" cy="247650"/>
            <wp:effectExtent l="0" t="0" r="9525" b="0"/>
            <wp:docPr id="26" name="Изображение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33"/>
                    <pic:cNvPicPr>
                      <a:picLocks noChangeAspect="1"/>
                    </pic:cNvPicPr>
                  </pic:nvPicPr>
                  <pic:blipFill>
                    <a:blip r:embed="rId5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300-200=100л/с</w:t>
      </w:r>
    </w:p>
    <w:p w14:paraId="0DE77E3B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U</w:t>
      </w:r>
      <w:r>
        <w:rPr>
          <w:rFonts w:hint="default" w:ascii="Times New Roman" w:hAnsi="Times New Roman" w:cs="Times New Roman"/>
          <w:sz w:val="28"/>
          <w:szCs w:val="28"/>
        </w:rPr>
        <w:t>=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</w:t>
      </w:r>
      <w:r>
        <w:rPr>
          <w:rFonts w:hint="default" w:ascii="Times New Roman" w:hAnsi="Times New Roman" w:cs="Times New Roman"/>
          <w:sz w:val="28"/>
          <w:szCs w:val="28"/>
        </w:rPr>
        <w:t>0*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n</w:t>
      </w:r>
      <w:r>
        <w:rPr>
          <w:rFonts w:hint="default" w:ascii="Times New Roman" w:hAnsi="Times New Roman" w:cs="Times New Roman"/>
          <w:sz w:val="28"/>
          <w:szCs w:val="28"/>
        </w:rPr>
        <w:t>эт.*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n</w:t>
      </w:r>
      <w:r>
        <w:rPr>
          <w:rFonts w:hint="default" w:ascii="Times New Roman" w:hAnsi="Times New Roman" w:cs="Times New Roman"/>
          <w:sz w:val="28"/>
          <w:szCs w:val="28"/>
        </w:rPr>
        <w:t>кв.</w:t>
      </w:r>
    </w:p>
    <w:p w14:paraId="309EAB78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A2221E4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где,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</w:t>
      </w:r>
      <w:r>
        <w:rPr>
          <w:rFonts w:hint="default" w:ascii="Times New Roman" w:hAnsi="Times New Roman" w:cs="Times New Roman"/>
          <w:sz w:val="28"/>
          <w:szCs w:val="28"/>
        </w:rPr>
        <w:t xml:space="preserve">0 – средняя заселенность квартиры;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n</w:t>
      </w:r>
      <w:r>
        <w:rPr>
          <w:rFonts w:hint="default" w:ascii="Times New Roman" w:hAnsi="Times New Roman" w:cs="Times New Roman"/>
          <w:sz w:val="28"/>
          <w:szCs w:val="28"/>
        </w:rPr>
        <w:t xml:space="preserve">эт. – количество этажей в здании;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n</w:t>
      </w:r>
      <w:r>
        <w:rPr>
          <w:rFonts w:hint="default" w:ascii="Times New Roman" w:hAnsi="Times New Roman" w:cs="Times New Roman"/>
          <w:sz w:val="28"/>
          <w:szCs w:val="28"/>
        </w:rPr>
        <w:t>кв. – количество квартир на этаже.</w:t>
      </w:r>
    </w:p>
    <w:p w14:paraId="78FD863A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5987291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U</w:t>
      </w:r>
      <w:r>
        <w:rPr>
          <w:rFonts w:hint="default" w:ascii="Times New Roman" w:hAnsi="Times New Roman" w:cs="Times New Roman"/>
          <w:sz w:val="28"/>
          <w:szCs w:val="28"/>
        </w:rPr>
        <w:t>=4*6*6=144 ч</w:t>
      </w:r>
    </w:p>
    <w:p w14:paraId="423022A1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371475" cy="238125"/>
            <wp:effectExtent l="0" t="0" r="9525" b="6350"/>
            <wp:docPr id="24" name="Изображение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34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(100*144)/(1000*24) =0,6м3/ч</w:t>
      </w:r>
    </w:p>
    <w:p w14:paraId="1BB29272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0C19C846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76225" cy="238125"/>
            <wp:effectExtent l="0" t="0" r="9525" b="8890"/>
            <wp:docPr id="22" name="Изображение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35"/>
                    <pic:cNvPicPr>
                      <a:picLocks noChangeAspect="1"/>
                    </pic:cNvPicPr>
                  </pic:nvPicPr>
                  <pic:blipFill>
                    <a:blip r:embed="rId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- норма расхода воды, л/с, в сутки наибольшего водопотребления общая (в том числе горячей);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28600" cy="247650"/>
            <wp:effectExtent l="0" t="0" r="0" b="0"/>
            <wp:docPr id="28" name="Изображение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36"/>
                    <pic:cNvPicPr>
                      <a:picLocks noChangeAspect="1"/>
                    </pic:cNvPicPr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- норма расхода горячей воды, л/с, в сутки наибольшего водопотребления.</w:t>
      </w:r>
    </w:p>
    <w:p w14:paraId="7CB0F9E3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Зная среднечасовой расход, по таблице принимаем турбинный счетчик с диаметром прохода 50мм, для которого гидравлическое сопротивление счетчика равно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</w:t>
      </w:r>
      <w:r>
        <w:rPr>
          <w:rFonts w:hint="default" w:ascii="Times New Roman" w:hAnsi="Times New Roman" w:cs="Times New Roman"/>
          <w:sz w:val="28"/>
          <w:szCs w:val="28"/>
        </w:rPr>
        <w:t>=0.143м/(л-с-1)2. Тогда потери напора на счетчике:</w:t>
      </w:r>
    </w:p>
    <w:tbl>
      <w:tblPr>
        <w:tblStyle w:val="12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4295"/>
        <w:gridCol w:w="2516"/>
      </w:tblGrid>
      <w:tr w14:paraId="6CAA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787" w:type="dxa"/>
          </w:tcPr>
          <w:p w14:paraId="7970AC0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7864861B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= 0.143*0.922=0.121м</w:t>
            </w:r>
          </w:p>
          <w:p w14:paraId="28FF08DE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6BE9AF20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46FAE407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41361B33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</w:t>
      </w:r>
      <w:r>
        <w:rPr>
          <w:rFonts w:hint="default" w:ascii="Times New Roman" w:hAnsi="Times New Roman" w:cs="Times New Roman"/>
          <w:sz w:val="28"/>
          <w:szCs w:val="28"/>
        </w:rPr>
        <w:t>- гидравлическое сопротивление счетчика, м/(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714375" cy="238125"/>
            <wp:effectExtent l="0" t="0" r="9525" b="8890"/>
            <wp:docPr id="25" name="Изображение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37"/>
                    <pic:cNvPicPr>
                      <a:picLocks noChangeAspect="1"/>
                    </pic:cNvPicPr>
                  </pic:nvPicPr>
                  <pic:blipFill>
                    <a:blip r:embed="rId5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76CDB181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q</w:t>
      </w:r>
      <w:r>
        <w:rPr>
          <w:rFonts w:hint="default" w:ascii="Times New Roman" w:hAnsi="Times New Roman" w:cs="Times New Roman"/>
          <w:sz w:val="28"/>
          <w:szCs w:val="28"/>
        </w:rPr>
        <w:t xml:space="preserve">- расчетный расход воды для всего здания, л/с. </w:t>
      </w:r>
    </w:p>
    <w:p w14:paraId="00922DAD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Потери давления не превышают 2,5м , поэтому принимает счетчик с диаметром условного прохода 50мм.</w:t>
      </w:r>
    </w:p>
    <w:p w14:paraId="387633E7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Необходимый (требуемый) напор в месте присоединения ввода к городской сети, обеспечивающий нормальное водоснабжение диктующего прибора, определяем по формуле:</w:t>
      </w:r>
    </w:p>
    <w:tbl>
      <w:tblPr>
        <w:tblStyle w:val="12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4295"/>
        <w:gridCol w:w="2516"/>
      </w:tblGrid>
      <w:tr w14:paraId="6467D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787" w:type="dxa"/>
          </w:tcPr>
          <w:p w14:paraId="4F2A737D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2436D95D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drawing>
                <wp:inline distT="0" distB="0" distL="114300" distR="114300">
                  <wp:extent cx="1552575" cy="266700"/>
                  <wp:effectExtent l="0" t="0" r="9525" b="0"/>
                  <wp:docPr id="40" name="Изображение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 38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м</w:t>
            </w:r>
          </w:p>
          <w:p w14:paraId="2432CC4F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44D743DE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5715B8CA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19242DA8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HГ – геометрическая высота подачи воды от места присоединения ввода трубопровода до отметки диктующего прибора, м; Hf – свободный напор у диктующего прибора, м вод. ст.;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57175" cy="238125"/>
            <wp:effectExtent l="0" t="0" r="9525" b="8255"/>
            <wp:docPr id="32" name="Изображение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39"/>
                    <pic:cNvPicPr>
                      <a:picLocks noChangeAspect="1"/>
                    </pic:cNvPicPr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- суммарные потери напора в здании, м вод. ст.</w:t>
      </w:r>
    </w:p>
    <w:p w14:paraId="4C730565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2A982CCD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1247775" cy="285750"/>
            <wp:effectExtent l="0" t="0" r="0" b="0"/>
            <wp:docPr id="20" name="Изображение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40"/>
                    <pic:cNvPicPr>
                      <a:picLocks noChangeAspect="1"/>
                    </pic:cNvPicPr>
                  </pic:nvPicPr>
                  <pic:blipFill>
                    <a:blip r:embed="rId5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B5417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447925" cy="257175"/>
            <wp:effectExtent l="0" t="0" r="9525" b="8890"/>
            <wp:docPr id="29" name="Изображение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41"/>
                    <pic:cNvPicPr>
                      <a:picLocks noChangeAspect="1"/>
                    </pic:cNvPicPr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0+(6 - 1) *2,9+1=15,5м</w:t>
      </w:r>
    </w:p>
    <w:p w14:paraId="210481D0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Z</w:t>
      </w:r>
      <w:r>
        <w:rPr>
          <w:rFonts w:hint="default" w:ascii="Times New Roman" w:hAnsi="Times New Roman" w:cs="Times New Roman"/>
          <w:sz w:val="28"/>
          <w:szCs w:val="28"/>
        </w:rPr>
        <w:t>ВТ=2,5м</w:t>
      </w:r>
    </w:p>
    <w:p w14:paraId="261F62E3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381000" cy="238125"/>
            <wp:effectExtent l="0" t="0" r="0" b="8255"/>
            <wp:docPr id="30" name="Изображение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42"/>
                    <pic:cNvPicPr>
                      <a:picLocks noChangeAspect="1"/>
                    </pic:cNvPicPr>
                  </pic:nvPicPr>
                  <pic:blipFill>
                    <a:blip r:embed="rId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15,5-2,5=13м,</w:t>
      </w:r>
    </w:p>
    <w:p w14:paraId="1C07E983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i/>
          <w:sz w:val="28"/>
          <w:szCs w:val="28"/>
          <w:lang w:val="en-US"/>
        </w:rPr>
      </w:pPr>
    </w:p>
    <w:p w14:paraId="0014BA71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Zдп. – отметка присоединения диктующего прибора, м; Zвт. – отметка верха трубы городского водопровода (по заданию); Zпол. – отметка пола 1-го этажа, м; n – число этажей; hэт. – высота этажа, м; hдп. – высота установки прибора. </w:t>
      </w:r>
      <w:r>
        <w:rPr>
          <w:rFonts w:hint="default" w:ascii="Times New Roman" w:hAnsi="Times New Roman" w:cs="Times New Roman"/>
          <w:color w:val="FFFFFF"/>
          <w:sz w:val="28"/>
          <w:szCs w:val="28"/>
        </w:rPr>
        <w:t>водоснабжение насосный установка сеть</w:t>
      </w:r>
    </w:p>
    <w:p w14:paraId="794F4575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Свободный напор Hf для ванны равен 3м (СНиП 2.04.01-85*).</w:t>
      </w:r>
    </w:p>
    <w:p w14:paraId="3259C472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Суммарные потери напора определяются по формуле:</w:t>
      </w:r>
    </w:p>
    <w:tbl>
      <w:tblPr>
        <w:tblStyle w:val="12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4295"/>
        <w:gridCol w:w="2516"/>
      </w:tblGrid>
      <w:tr w14:paraId="2E048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787" w:type="dxa"/>
          </w:tcPr>
          <w:p w14:paraId="3F788DC4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59E33B94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drawing>
                <wp:inline distT="0" distB="0" distL="114300" distR="114300">
                  <wp:extent cx="1609725" cy="238125"/>
                  <wp:effectExtent l="0" t="0" r="9525" b="8255"/>
                  <wp:docPr id="42" name="Изображение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 43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</w:rPr>
              <w:t xml:space="preserve"> ,</w:t>
            </w:r>
          </w:p>
          <w:p w14:paraId="511BE165">
            <w:pPr>
              <w:keepNext w:val="0"/>
              <w:keepLines w:val="0"/>
              <w:pageBreakBefore w:val="0"/>
              <w:widowControl w:val="0"/>
              <w:shd w:val="clear" w:color="00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auto"/>
              <w:ind w:firstLine="709"/>
              <w:jc w:val="both"/>
              <w:textAlignment w:val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4CACB77F">
            <w:pPr>
              <w:spacing w:after="0" w:line="36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3DAA8E3F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949F1E7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где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</w:t>
      </w:r>
      <w:r>
        <w:rPr>
          <w:rFonts w:hint="default" w:ascii="Times New Roman" w:hAnsi="Times New Roman" w:cs="Times New Roman"/>
          <w:sz w:val="28"/>
          <w:szCs w:val="28"/>
        </w:rPr>
        <w:t xml:space="preserve">в – потери напора в счетчике (водомере), м вод. ст.;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85750" cy="238125"/>
            <wp:effectExtent l="0" t="0" r="0" b="8255"/>
            <wp:docPr id="33" name="Изображение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44"/>
                    <pic:cNvPicPr>
                      <a:picLocks noChangeAspect="1"/>
                    </pic:cNvPicPr>
                  </pic:nvPicPr>
                  <pic:blipFill>
                    <a:blip r:embed="rId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– суммарные потери напора на участке, м вод. ст.;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</w:t>
      </w:r>
      <w:r>
        <w:rPr>
          <w:rFonts w:hint="default" w:ascii="Times New Roman" w:hAnsi="Times New Roman" w:cs="Times New Roman"/>
          <w:sz w:val="28"/>
          <w:szCs w:val="28"/>
        </w:rPr>
        <w:t>вв. - потери напора на вводе, м вод. ст. Тогда:</w:t>
      </w:r>
    </w:p>
    <w:p w14:paraId="2C998733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BCDFB80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2894965" cy="400050"/>
            <wp:effectExtent l="0" t="0" r="635" b="0"/>
            <wp:docPr id="34" name="Изображение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45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DF7A4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i/>
          <w:sz w:val="28"/>
          <w:szCs w:val="28"/>
          <w:lang w:val="en-US"/>
        </w:rPr>
      </w:pPr>
    </w:p>
    <w:p w14:paraId="4BF12602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Тогда требуемый напор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</w:t>
      </w:r>
      <w:r>
        <w:rPr>
          <w:rFonts w:hint="default" w:ascii="Times New Roman" w:hAnsi="Times New Roman" w:cs="Times New Roman"/>
          <w:sz w:val="28"/>
          <w:szCs w:val="28"/>
        </w:rPr>
        <w:t>тр, м. вод ст. равен:</w:t>
      </w:r>
    </w:p>
    <w:p w14:paraId="5429DC0C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828EBA7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447675" cy="266700"/>
            <wp:effectExtent l="0" t="0" r="9525" b="0"/>
            <wp:docPr id="35" name="Изображение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46"/>
                    <pic:cNvPicPr>
                      <a:picLocks noChangeAspect="1"/>
                    </pic:cNvPicPr>
                  </pic:nvPicPr>
                  <pic:blipFill>
                    <a:blip r:embed="rId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13+3+4,021=20,021</w:t>
      </w:r>
    </w:p>
    <w:p w14:paraId="7AEE41E8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45AE7939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Требуемый напор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</w:t>
      </w:r>
      <w:r>
        <w:rPr>
          <w:rFonts w:hint="default" w:ascii="Times New Roman" w:hAnsi="Times New Roman" w:cs="Times New Roman"/>
          <w:sz w:val="28"/>
          <w:szCs w:val="28"/>
        </w:rPr>
        <w:t xml:space="preserve">тр должен быть меньше либо равен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H</w:t>
      </w:r>
      <w:r>
        <w:rPr>
          <w:rFonts w:hint="default" w:ascii="Times New Roman" w:hAnsi="Times New Roman" w:cs="Times New Roman"/>
          <w:sz w:val="28"/>
          <w:szCs w:val="28"/>
        </w:rPr>
        <w:t>гар , т.е. должно выполняться условие:</w:t>
      </w:r>
    </w:p>
    <w:p w14:paraId="39459414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B463B65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809625" cy="266700"/>
            <wp:effectExtent l="0" t="0" r="9525" b="0"/>
            <wp:docPr id="36" name="Изображение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47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,</w:t>
      </w:r>
    </w:p>
    <w:p w14:paraId="58640F82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860BE16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 несоблюдении этого условия необходимо увеличить диаметры труб на отдельных участках или установить насос.</w:t>
      </w:r>
    </w:p>
    <w:p w14:paraId="2EC5CEDA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арантийный напор Н</w:t>
      </w:r>
      <w:r>
        <w:rPr>
          <w:rFonts w:hint="default" w:ascii="Times New Roman" w:hAnsi="Times New Roman" w:cs="Times New Roman"/>
          <w:sz w:val="28"/>
          <w:szCs w:val="28"/>
          <w:vertAlign w:val="subscript"/>
        </w:rPr>
        <w:t>гар</w:t>
      </w:r>
      <w:r>
        <w:rPr>
          <w:rFonts w:hint="default" w:ascii="Times New Roman" w:hAnsi="Times New Roman" w:cs="Times New Roman"/>
          <w:sz w:val="28"/>
          <w:szCs w:val="28"/>
        </w:rPr>
        <w:t xml:space="preserve"> =42,0 м. Проверяем условие:</w:t>
      </w:r>
    </w:p>
    <w:p w14:paraId="49428420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20.021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133350" cy="238125"/>
            <wp:effectExtent l="0" t="0" r="0" b="0"/>
            <wp:docPr id="21" name="Изображение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48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45.0</w:t>
      </w:r>
    </w:p>
    <w:p w14:paraId="5378C6FC">
      <w:pPr>
        <w:keepNext w:val="0"/>
        <w:keepLines w:val="0"/>
        <w:pageBreakBefore w:val="0"/>
        <w:widowControl w:val="0"/>
        <w:shd w:val="clear" w:color="00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т.к. Нтр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114300" distR="114300">
            <wp:extent cx="133350" cy="238125"/>
            <wp:effectExtent l="0" t="0" r="0" b="0"/>
            <wp:docPr id="37" name="Изображение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49"/>
                    <pic:cNvPicPr>
                      <a:picLocks noChangeAspect="1"/>
                    </pic:cNvPicPr>
                  </pic:nvPicPr>
                  <pic:blipFill>
                    <a:blip r:embed="rId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НГАР , то установка насоса не требуется.</w:t>
      </w:r>
    </w:p>
    <w:p w14:paraId="55A6AAF3">
      <w:pPr>
        <w:pStyle w:val="28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1134" w:right="1701" w:bottom="1134" w:left="850" w:header="708" w:footer="708" w:gutter="0"/>
          <w:cols w:space="708" w:num="1"/>
          <w:docGrid w:linePitch="360" w:charSpace="0"/>
        </w:sectPr>
      </w:pPr>
    </w:p>
    <w:p w14:paraId="1055DA05">
      <w:pPr>
        <w:pStyle w:val="2"/>
        <w:bidi w:val="0"/>
        <w:rPr>
          <w:lang w:eastAsia="ru-RU"/>
        </w:rPr>
      </w:pPr>
      <w:bookmarkStart w:id="3" w:name="_Toc25204"/>
      <w:r>
        <w:rPr>
          <w:lang w:eastAsia="ru-RU"/>
        </w:rPr>
        <w:t>Заключение</w:t>
      </w:r>
      <w:bookmarkEnd w:id="3"/>
    </w:p>
    <w:p w14:paraId="79CD6B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ходе выполнения курсовой работы, были получены как теоретические , так и практические знания по дисциплине «Водоснабжение и водоотведение жилых и промышленных зданий и сооружений».</w:t>
      </w:r>
    </w:p>
    <w:p w14:paraId="7AF74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680F4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  <w:sectPr>
          <w:pgSz w:w="11906" w:h="16838"/>
          <w:pgMar w:top="1134" w:right="1701" w:bottom="1134" w:left="850" w:header="708" w:footer="708" w:gutter="0"/>
          <w:cols w:space="708" w:num="1"/>
          <w:docGrid w:linePitch="360" w:charSpace="0"/>
        </w:sectPr>
      </w:pPr>
    </w:p>
    <w:p w14:paraId="72D624E4">
      <w:pPr>
        <w:pStyle w:val="2"/>
        <w:bidi w:val="0"/>
        <w:rPr>
          <w:lang w:eastAsia="ru-RU"/>
        </w:rPr>
      </w:pPr>
      <w:bookmarkStart w:id="4" w:name="_Toc11261"/>
      <w:r>
        <w:rPr>
          <w:lang w:eastAsia="ru-RU"/>
        </w:rPr>
        <w:t>Список используемой литературы</w:t>
      </w:r>
      <w:bookmarkEnd w:id="4"/>
    </w:p>
    <w:p w14:paraId="0C7EB815">
      <w:pPr>
        <w:pStyle w:val="2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21.205-2016 Условные обозначения элементов трубопроводных систем зданий и сооружений </w:t>
      </w:r>
      <m:oMath>
        <m:d>
          <m:dPr>
            <m:begChr m:val="["/>
            <m:endChr m:val="]"/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  <m:sty m:val="p"/>
              </m:rPr>
              <w:rPr>
                <w:rFonts w:ascii="Times New Roman" w:hAnsi="Times New Roman" w:eastAsia="Calibri" w:cs="Times New Roman"/>
                <w:b w:val="0"/>
                <w:i w:val="0"/>
                <w:sz w:val="28"/>
                <w:szCs w:val="28"/>
              </w:rPr>
              <m:t>Электронный ресурс</m:t>
            </m:r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e>
        </m:d>
      </m:oMath>
      <w:r>
        <w:rPr>
          <w:rFonts w:ascii="Times New Roman" w:hAnsi="Times New Roman" w:eastAsia="Times New Roman" w:cs="Times New Roman"/>
          <w:sz w:val="28"/>
          <w:szCs w:val="28"/>
        </w:rPr>
        <w:t>. – Введ. 2017-04-01. - Режим доступа:</w:t>
      </w:r>
      <w:r>
        <w:t xml:space="preserve"> </w:t>
      </w:r>
      <w:r>
        <w:fldChar w:fldCharType="begin"/>
      </w:r>
      <w:r>
        <w:instrText xml:space="preserve"> HYPERLINK "https://docs.cntd.ru/document/1200141109" </w:instrText>
      </w:r>
      <w:r>
        <w:fldChar w:fldCharType="separate"/>
      </w:r>
      <w:r>
        <w:rPr>
          <w:rStyle w:val="13"/>
          <w:rFonts w:ascii="Times New Roman" w:hAnsi="Times New Roman" w:eastAsia="Times New Roman" w:cs="Times New Roman"/>
          <w:i w:val="0"/>
          <w:sz w:val="28"/>
          <w:szCs w:val="28"/>
        </w:rPr>
        <w:t>https://docs.cntd.ru/document/1200141109</w:t>
      </w:r>
      <w:r>
        <w:rPr>
          <w:rStyle w:val="13"/>
          <w:rFonts w:ascii="Times New Roman" w:hAnsi="Times New Roman" w:eastAsia="Times New Roman" w:cs="Times New Roman"/>
          <w:i w:val="0"/>
          <w:sz w:val="28"/>
          <w:szCs w:val="28"/>
        </w:rPr>
        <w:fldChar w:fldCharType="end"/>
      </w:r>
    </w:p>
    <w:p w14:paraId="4BBBE383">
      <w:pPr>
        <w:pStyle w:val="2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21.601-2011 Правила выполнения рабочей документации внутренних систем водоснабжения и канализации </w:t>
      </w:r>
      <m:oMath>
        <m:d>
          <m:dPr>
            <m:begChr m:val="["/>
            <m:endChr m:val="]"/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  <m:sty m:val="p"/>
              </m:rPr>
              <w:rPr>
                <w:rFonts w:ascii="Times New Roman" w:hAnsi="Times New Roman" w:eastAsia="Calibri" w:cs="Times New Roman"/>
                <w:b w:val="0"/>
                <w:i w:val="0"/>
                <w:sz w:val="28"/>
                <w:szCs w:val="28"/>
              </w:rPr>
              <m:t>Электронный ресурс</m:t>
            </m:r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e>
        </m:d>
      </m:oMath>
      <w:r>
        <w:rPr>
          <w:rFonts w:ascii="Times New Roman" w:hAnsi="Times New Roman" w:eastAsia="Times New Roman" w:cs="Times New Roman"/>
          <w:sz w:val="28"/>
          <w:szCs w:val="28"/>
        </w:rPr>
        <w:t>. – Введ. 2013-05-01. - Режим доступа: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https://docs.cntd.ru/document/1200095704</w:t>
      </w:r>
    </w:p>
    <w:p w14:paraId="14ECBEF9">
      <w:pPr>
        <w:pStyle w:val="2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СП 30.13330.2020. Внутренний водопровод и канализация зданий. </w:t>
      </w:r>
      <m:oMath>
        <m:d>
          <m:dPr>
            <m:begChr m:val="["/>
            <m:endChr m:val="]"/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  <m:sty m:val="p"/>
              </m:rPr>
              <w:rPr>
                <w:rFonts w:ascii="Times New Roman" w:hAnsi="Times New Roman" w:eastAsia="Calibri" w:cs="Times New Roman"/>
                <w:b w:val="0"/>
                <w:i w:val="0"/>
                <w:sz w:val="28"/>
                <w:szCs w:val="28"/>
              </w:rPr>
              <m:t>Электронный ресурс</m:t>
            </m:r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e>
        </m:d>
      </m:oMath>
      <w:r>
        <w:rPr>
          <w:rFonts w:ascii="Times New Roman" w:hAnsi="Times New Roman" w:eastAsia="Times New Roman" w:cs="Times New Roman"/>
          <w:sz w:val="28"/>
          <w:szCs w:val="28"/>
        </w:rPr>
        <w:t>. – Введ. 2021-07-01. - Режим доступа: https://docs.cntd.ru/document/573741260</w:t>
      </w:r>
    </w:p>
    <w:p w14:paraId="1BF91F3B">
      <w:pPr>
        <w:pStyle w:val="28"/>
        <w:numPr>
          <w:ilvl w:val="0"/>
          <w:numId w:val="6"/>
        </w:numPr>
        <w:spacing w:after="0" w:line="360" w:lineRule="auto"/>
        <w:jc w:val="both"/>
        <w:rPr>
          <w:rStyle w:val="13"/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>СП 73.13330.2016 Внутренние санитарно-технические системы зданий. СНиП 3.05.01-85 (с Изменением N 1)</w:t>
      </w:r>
      <m:oMath>
        <m:r>
          <m:rPr/>
          <w:rPr>
            <w:rFonts w:ascii="Cambria Math" w:hAnsi="Times New Roman" w:eastAsia="Calibri" w:cs="Times New Roman"/>
            <w:sz w:val="28"/>
            <w:szCs w:val="28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  <m:sty m:val="p"/>
              </m:rPr>
              <w:rPr>
                <w:rFonts w:ascii="Times New Roman" w:hAnsi="Times New Roman" w:eastAsia="Calibri" w:cs="Times New Roman"/>
                <w:b w:val="0"/>
                <w:i w:val="0"/>
                <w:sz w:val="28"/>
                <w:szCs w:val="28"/>
              </w:rPr>
              <m:t>Электронный ресурс</m:t>
            </m:r>
            <m:ctrlPr>
              <w:rPr>
                <w:rFonts w:ascii="Cambria Math" w:hAnsi="Times New Roman" w:eastAsia="Calibri" w:cs="Times New Roman"/>
                <w:i/>
                <w:sz w:val="28"/>
                <w:szCs w:val="28"/>
              </w:rPr>
            </m:ctrlPr>
          </m:e>
        </m:d>
      </m:oMath>
      <w:r>
        <w:rPr>
          <w:rFonts w:ascii="Times New Roman" w:hAnsi="Times New Roman" w:eastAsia="Times New Roman" w:cs="Times New Roman"/>
          <w:sz w:val="28"/>
          <w:szCs w:val="28"/>
        </w:rPr>
        <w:t>. – Введ. 2017-04-01. - Режим доступа:</w:t>
      </w:r>
      <w:r>
        <w:t xml:space="preserve"> </w:t>
      </w:r>
      <w:r>
        <w:fldChar w:fldCharType="begin"/>
      </w:r>
      <w:r>
        <w:instrText xml:space="preserve"> HYPERLINK "https://docs.cntd.ru/document/456029018" </w:instrText>
      </w:r>
      <w:r>
        <w:fldChar w:fldCharType="separate"/>
      </w:r>
      <w:r>
        <w:rPr>
          <w:rStyle w:val="13"/>
          <w:rFonts w:ascii="Times New Roman" w:hAnsi="Times New Roman" w:eastAsia="Times New Roman" w:cs="Times New Roman"/>
          <w:i w:val="0"/>
          <w:sz w:val="28"/>
          <w:szCs w:val="28"/>
        </w:rPr>
        <w:t>https://docs.cntd.ru/document/456029018</w:t>
      </w:r>
      <w:r>
        <w:rPr>
          <w:rStyle w:val="13"/>
          <w:rFonts w:ascii="Times New Roman" w:hAnsi="Times New Roman" w:eastAsia="Times New Roman" w:cs="Times New Roman"/>
          <w:i w:val="0"/>
          <w:sz w:val="28"/>
          <w:szCs w:val="28"/>
        </w:rPr>
        <w:fldChar w:fldCharType="end"/>
      </w:r>
    </w:p>
    <w:p w14:paraId="2DEED35A">
      <w:pPr>
        <w:pStyle w:val="28"/>
        <w:numPr>
          <w:ilvl w:val="0"/>
          <w:numId w:val="6"/>
        </w:numPr>
        <w:spacing w:after="0" w:line="360" w:lineRule="auto"/>
        <w:jc w:val="both"/>
        <w:rPr>
          <w:rStyle w:val="13"/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Водоснабжение и водоотведение здания: метод. указания к выполнению курсового проекта / сост. Е.А. Усманова, С.Ю. Дудина. – Тольятти: ТГУ, 2007. – 74с.</w:t>
      </w:r>
    </w:p>
    <w:p w14:paraId="78BC3DAF">
      <w:pPr>
        <w:pStyle w:val="28"/>
        <w:numPr>
          <w:numId w:val="0"/>
        </w:numPr>
        <w:spacing w:after="0" w:line="360" w:lineRule="auto"/>
        <w:ind w:left="360" w:leftChars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/>
      </w:r>
    </w:p>
    <w:sectPr>
      <w:pgSz w:w="11906" w:h="16838"/>
      <w:pgMar w:top="1134" w:right="170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 New Roman CYR">
    <w:altName w:val="Times New Roman"/>
    <w:panose1 w:val="00000000000000000000"/>
    <w:charset w:val="CC"/>
    <w:family w:val="roman"/>
    <w:pitch w:val="default"/>
    <w:sig w:usb0="00000000" w:usb1="00000000" w:usb2="00000000" w:usb3="00000000" w:csb0="00000004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TimesNewRomanPSMT">
    <w:altName w:val="Times New Roman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Greek">
    <w:altName w:val="Times New Roman"/>
    <w:panose1 w:val="00000000000000000000"/>
    <w:charset w:val="A1"/>
    <w:family w:val="roman"/>
    <w:pitch w:val="default"/>
    <w:sig w:usb0="00000000" w:usb1="00000000" w:usb2="00000000" w:usb3="00000000" w:csb0="00000008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85E15">
    <w:pPr>
      <w:pStyle w:val="23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Текстовое поле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1F8747">
                          <w:pPr>
                            <w:pStyle w:val="2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CzSVju0AAAAAUBAAAPAAAAAAAAAAEAIAAAACIAAABkcnMv&#10;ZG93bnJldi54bWxQSwECFAAUAAAACACHTuJABxE2i+8CAAA4BgAADgAAAAAAAAABACAAAAAfAQAA&#10;ZHJzL2Uyb0RvYy54bWxQSwUGAAAAAAYABgBZAQAAgA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1F8747">
                    <w:pPr>
                      <w:pStyle w:val="2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B7D95"/>
    <w:multiLevelType w:val="multilevel"/>
    <w:tmpl w:val="017B7D95"/>
    <w:lvl w:ilvl="0" w:tentative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95C0F"/>
    <w:multiLevelType w:val="multilevel"/>
    <w:tmpl w:val="15D95C0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2CA5C77"/>
    <w:multiLevelType w:val="singleLevel"/>
    <w:tmpl w:val="22CA5C7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5EA3455"/>
    <w:multiLevelType w:val="multilevel"/>
    <w:tmpl w:val="25EA345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0434E"/>
    <w:multiLevelType w:val="multilevel"/>
    <w:tmpl w:val="4470434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71C211D2"/>
    <w:multiLevelType w:val="singleLevel"/>
    <w:tmpl w:val="71C211D2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C7"/>
    <w:rsid w:val="00054BD9"/>
    <w:rsid w:val="000571B2"/>
    <w:rsid w:val="00083264"/>
    <w:rsid w:val="000A2C62"/>
    <w:rsid w:val="000C3096"/>
    <w:rsid w:val="000D2660"/>
    <w:rsid w:val="000F634B"/>
    <w:rsid w:val="00137898"/>
    <w:rsid w:val="00192780"/>
    <w:rsid w:val="002B5804"/>
    <w:rsid w:val="00350877"/>
    <w:rsid w:val="00354198"/>
    <w:rsid w:val="003C1EFD"/>
    <w:rsid w:val="003F2789"/>
    <w:rsid w:val="004A3669"/>
    <w:rsid w:val="004E351A"/>
    <w:rsid w:val="005316B6"/>
    <w:rsid w:val="005A45D3"/>
    <w:rsid w:val="0078119F"/>
    <w:rsid w:val="007C35B3"/>
    <w:rsid w:val="00852BE0"/>
    <w:rsid w:val="00870B88"/>
    <w:rsid w:val="008B30EA"/>
    <w:rsid w:val="008E4CC9"/>
    <w:rsid w:val="00934EC9"/>
    <w:rsid w:val="00951FFC"/>
    <w:rsid w:val="00A56118"/>
    <w:rsid w:val="00B97248"/>
    <w:rsid w:val="00C45696"/>
    <w:rsid w:val="00C67701"/>
    <w:rsid w:val="00CB3306"/>
    <w:rsid w:val="00D0576F"/>
    <w:rsid w:val="00D06582"/>
    <w:rsid w:val="00DA39D2"/>
    <w:rsid w:val="00EC1375"/>
    <w:rsid w:val="00EE02C7"/>
    <w:rsid w:val="00F76D8E"/>
    <w:rsid w:val="00FA5574"/>
    <w:rsid w:val="00FC4A20"/>
    <w:rsid w:val="18DA1920"/>
    <w:rsid w:val="1B463088"/>
    <w:rsid w:val="5898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  <w:jc w:val="center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spacing w:after="0" w:line="360" w:lineRule="auto"/>
      <w:ind w:right="-6" w:firstLine="720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paragraph" w:styleId="3">
    <w:name w:val="heading 2"/>
    <w:basedOn w:val="1"/>
    <w:next w:val="1"/>
    <w:link w:val="32"/>
    <w:qFormat/>
    <w:uiPriority w:val="0"/>
    <w:pPr>
      <w:keepNext/>
      <w:spacing w:after="0" w:line="312" w:lineRule="auto"/>
      <w:outlineLvl w:val="1"/>
    </w:pPr>
    <w:rPr>
      <w:rFonts w:ascii="Times New Roman" w:hAnsi="Times New Roman" w:eastAsia="Times New Roman" w:cs="Times New Roman"/>
      <w:bCs/>
      <w:sz w:val="26"/>
      <w:szCs w:val="24"/>
      <w:u w:val="single"/>
      <w:lang w:eastAsia="ru-RU"/>
    </w:rPr>
  </w:style>
  <w:style w:type="paragraph" w:styleId="4">
    <w:name w:val="heading 3"/>
    <w:basedOn w:val="1"/>
    <w:next w:val="1"/>
    <w:link w:val="33"/>
    <w:qFormat/>
    <w:uiPriority w:val="0"/>
    <w:pPr>
      <w:keepNext/>
      <w:spacing w:after="0" w:line="312" w:lineRule="auto"/>
      <w:ind w:firstLine="720"/>
      <w:outlineLvl w:val="2"/>
    </w:pPr>
    <w:rPr>
      <w:rFonts w:ascii="Times New Roman" w:hAnsi="Times New Roman" w:eastAsia="Times New Roman" w:cs="Times New Roman"/>
      <w:b/>
      <w:sz w:val="26"/>
      <w:szCs w:val="24"/>
      <w:lang w:eastAsia="ru-RU"/>
    </w:rPr>
  </w:style>
  <w:style w:type="paragraph" w:styleId="5">
    <w:name w:val="heading 4"/>
    <w:basedOn w:val="1"/>
    <w:next w:val="1"/>
    <w:link w:val="34"/>
    <w:qFormat/>
    <w:uiPriority w:val="0"/>
    <w:pPr>
      <w:keepNext/>
      <w:spacing w:after="0" w:line="312" w:lineRule="auto"/>
      <w:ind w:firstLine="720"/>
      <w:outlineLvl w:val="3"/>
    </w:pPr>
    <w:rPr>
      <w:rFonts w:ascii="Times New Roman" w:hAnsi="Times New Roman" w:eastAsia="Times New Roman" w:cs="Times New Roman"/>
      <w:bCs/>
      <w:sz w:val="26"/>
      <w:szCs w:val="24"/>
      <w:u w:val="single"/>
      <w:lang w:eastAsia="ru-RU"/>
    </w:rPr>
  </w:style>
  <w:style w:type="paragraph" w:styleId="6">
    <w:name w:val="heading 5"/>
    <w:basedOn w:val="1"/>
    <w:next w:val="1"/>
    <w:link w:val="35"/>
    <w:qFormat/>
    <w:uiPriority w:val="0"/>
    <w:pPr>
      <w:keepNext/>
      <w:spacing w:after="0" w:line="240" w:lineRule="auto"/>
      <w:outlineLvl w:val="4"/>
    </w:pPr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paragraph" w:styleId="7">
    <w:name w:val="heading 6"/>
    <w:basedOn w:val="1"/>
    <w:next w:val="1"/>
    <w:link w:val="36"/>
    <w:qFormat/>
    <w:uiPriority w:val="0"/>
    <w:pPr>
      <w:keepNext/>
      <w:framePr w:hSpace="180" w:wrap="around" w:vAnchor="text" w:hAnchor="margin" w:xAlign="center" w:y="423"/>
      <w:spacing w:after="0" w:line="240" w:lineRule="auto"/>
      <w:outlineLvl w:val="5"/>
    </w:pPr>
    <w:rPr>
      <w:rFonts w:ascii="Times New Roman" w:hAnsi="Times New Roman" w:eastAsia="Times New Roman" w:cs="Times New Roman"/>
      <w:b/>
      <w:bCs/>
      <w:szCs w:val="24"/>
      <w:lang w:eastAsia="ru-RU"/>
    </w:rPr>
  </w:style>
  <w:style w:type="paragraph" w:styleId="8">
    <w:name w:val="heading 7"/>
    <w:basedOn w:val="1"/>
    <w:next w:val="1"/>
    <w:link w:val="37"/>
    <w:qFormat/>
    <w:uiPriority w:val="0"/>
    <w:pPr>
      <w:keepNext/>
      <w:framePr w:hSpace="180" w:wrap="around" w:vAnchor="text" w:hAnchor="margin" w:x="468" w:y="423"/>
      <w:spacing w:after="0" w:line="240" w:lineRule="auto"/>
      <w:outlineLvl w:val="6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">
    <w:name w:val="heading 8"/>
    <w:basedOn w:val="1"/>
    <w:next w:val="1"/>
    <w:link w:val="38"/>
    <w:qFormat/>
    <w:uiPriority w:val="0"/>
    <w:pPr>
      <w:keepNext/>
      <w:framePr w:hSpace="180" w:wrap="around" w:vAnchor="text" w:hAnchor="margin" w:xAlign="center" w:y="423"/>
      <w:spacing w:after="0" w:line="240" w:lineRule="auto"/>
      <w:outlineLvl w:val="7"/>
    </w:pPr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paragraph" w:styleId="10">
    <w:name w:val="heading 9"/>
    <w:basedOn w:val="1"/>
    <w:next w:val="1"/>
    <w:link w:val="39"/>
    <w:qFormat/>
    <w:uiPriority w:val="0"/>
    <w:pPr>
      <w:keepNext/>
      <w:spacing w:after="0" w:line="240" w:lineRule="auto"/>
      <w:outlineLvl w:val="8"/>
    </w:pPr>
    <w:rPr>
      <w:rFonts w:ascii="Times New Roman" w:hAnsi="Times New Roman" w:eastAsia="Times New Roman" w:cs="Times New Roman"/>
      <w:b/>
      <w:bCs/>
      <w:szCs w:val="24"/>
      <w:lang w:val="en-US" w:eastAsia="ru-RU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iPriority w:val="0"/>
    <w:rPr>
      <w:rFonts w:ascii="Arial" w:hAnsi="Arial" w:cs="Arial"/>
      <w:i/>
      <w:iCs/>
      <w:sz w:val="18"/>
      <w:szCs w:val="18"/>
    </w:rPr>
  </w:style>
  <w:style w:type="character" w:styleId="14">
    <w:name w:val="page number"/>
    <w:basedOn w:val="11"/>
    <w:uiPriority w:val="0"/>
  </w:style>
  <w:style w:type="paragraph" w:styleId="15">
    <w:name w:val="Balloon Text"/>
    <w:basedOn w:val="1"/>
    <w:link w:val="47"/>
    <w:semiHidden/>
    <w:uiPriority w:val="0"/>
    <w:pPr>
      <w:spacing w:after="0" w:line="240" w:lineRule="auto"/>
      <w:jc w:val="left"/>
    </w:pPr>
    <w:rPr>
      <w:rFonts w:ascii="Tahoma" w:hAnsi="Tahoma" w:eastAsia="Times New Roman" w:cs="Tahoma"/>
      <w:sz w:val="16"/>
      <w:szCs w:val="16"/>
      <w:lang w:eastAsia="ru-RU"/>
    </w:rPr>
  </w:style>
  <w:style w:type="paragraph" w:styleId="16">
    <w:name w:val="Body Text 2"/>
    <w:basedOn w:val="1"/>
    <w:link w:val="44"/>
    <w:qFormat/>
    <w:uiPriority w:val="0"/>
    <w:pPr>
      <w:spacing w:after="0" w:line="360" w:lineRule="auto"/>
      <w:ind w:right="1975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17">
    <w:name w:val="Body Text Indent 3"/>
    <w:basedOn w:val="1"/>
    <w:link w:val="43"/>
    <w:qFormat/>
    <w:uiPriority w:val="0"/>
    <w:pPr>
      <w:spacing w:after="0" w:line="312" w:lineRule="auto"/>
      <w:ind w:right="-6" w:firstLine="720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18">
    <w:name w:val="caption"/>
    <w:basedOn w:val="1"/>
    <w:next w:val="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paragraph" w:styleId="19">
    <w:name w:val="header"/>
    <w:basedOn w:val="1"/>
    <w:link w:val="29"/>
    <w:unhideWhenUsed/>
    <w:qFormat/>
    <w:uiPriority w:val="0"/>
    <w:pPr>
      <w:tabs>
        <w:tab w:val="center" w:pos="4677"/>
        <w:tab w:val="right" w:pos="9355"/>
      </w:tabs>
      <w:spacing w:after="0" w:line="240" w:lineRule="auto"/>
      <w:jc w:val="left"/>
    </w:pPr>
  </w:style>
  <w:style w:type="paragraph" w:styleId="20">
    <w:name w:val="Body Text"/>
    <w:basedOn w:val="1"/>
    <w:link w:val="41"/>
    <w:qFormat/>
    <w:uiPriority w:val="0"/>
    <w:pPr>
      <w:spacing w:after="0" w:line="360" w:lineRule="auto"/>
      <w:ind w:right="-5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21">
    <w:name w:val="toc 1"/>
    <w:basedOn w:val="1"/>
    <w:next w:val="1"/>
    <w:semiHidden/>
    <w:unhideWhenUsed/>
    <w:uiPriority w:val="39"/>
  </w:style>
  <w:style w:type="paragraph" w:styleId="22">
    <w:name w:val="Body Text Indent"/>
    <w:basedOn w:val="1"/>
    <w:link w:val="40"/>
    <w:qFormat/>
    <w:uiPriority w:val="0"/>
    <w:pPr>
      <w:spacing w:after="0" w:line="360" w:lineRule="auto"/>
      <w:ind w:right="-5" w:firstLine="720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23">
    <w:name w:val="footer"/>
    <w:basedOn w:val="1"/>
    <w:link w:val="46"/>
    <w:uiPriority w:val="0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4">
    <w:name w:val="Body Text 3"/>
    <w:basedOn w:val="1"/>
    <w:link w:val="45"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25">
    <w:name w:val="Body Text Indent 2"/>
    <w:basedOn w:val="1"/>
    <w:link w:val="42"/>
    <w:uiPriority w:val="0"/>
    <w:pPr>
      <w:spacing w:after="0" w:line="360" w:lineRule="auto"/>
      <w:ind w:right="-5" w:firstLine="720"/>
      <w:jc w:val="left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26">
    <w:name w:val="Block Text"/>
    <w:basedOn w:val="1"/>
    <w:qFormat/>
    <w:uiPriority w:val="0"/>
    <w:pPr>
      <w:spacing w:after="0" w:line="360" w:lineRule="auto"/>
      <w:ind w:left="1638" w:right="1712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27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Верхний колонтитул Знак"/>
    <w:basedOn w:val="11"/>
    <w:link w:val="19"/>
    <w:qFormat/>
    <w:uiPriority w:val="99"/>
  </w:style>
  <w:style w:type="table" w:customStyle="1" w:styleId="30">
    <w:name w:val="Сетка таблицы1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">
    <w:name w:val="Заголовок 1 Знак"/>
    <w:basedOn w:val="11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32">
    <w:name w:val="Заголовок 2 Знак"/>
    <w:basedOn w:val="11"/>
    <w:link w:val="3"/>
    <w:qFormat/>
    <w:uiPriority w:val="0"/>
    <w:rPr>
      <w:rFonts w:ascii="Times New Roman" w:hAnsi="Times New Roman" w:eastAsia="Times New Roman" w:cs="Times New Roman"/>
      <w:bCs/>
      <w:sz w:val="26"/>
      <w:szCs w:val="24"/>
      <w:u w:val="single"/>
      <w:lang w:eastAsia="ru-RU"/>
    </w:rPr>
  </w:style>
  <w:style w:type="character" w:customStyle="1" w:styleId="33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b/>
      <w:sz w:val="26"/>
      <w:szCs w:val="24"/>
      <w:lang w:eastAsia="ru-RU"/>
    </w:rPr>
  </w:style>
  <w:style w:type="character" w:customStyle="1" w:styleId="34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Cs/>
      <w:sz w:val="26"/>
      <w:szCs w:val="24"/>
      <w:u w:val="single"/>
      <w:lang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customStyle="1" w:styleId="36">
    <w:name w:val="Заголовок 6 Знак"/>
    <w:basedOn w:val="11"/>
    <w:link w:val="7"/>
    <w:qFormat/>
    <w:uiPriority w:val="0"/>
    <w:rPr>
      <w:rFonts w:ascii="Times New Roman" w:hAnsi="Times New Roman" w:eastAsia="Times New Roman" w:cs="Times New Roman"/>
      <w:b/>
      <w:bCs/>
      <w:szCs w:val="24"/>
      <w:lang w:eastAsia="ru-RU"/>
    </w:rPr>
  </w:style>
  <w:style w:type="character" w:customStyle="1" w:styleId="37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38">
    <w:name w:val="Заголовок 8 Знак"/>
    <w:basedOn w:val="11"/>
    <w:link w:val="9"/>
    <w:qFormat/>
    <w:uiPriority w:val="0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customStyle="1" w:styleId="39">
    <w:name w:val="Заголовок 9 Знак"/>
    <w:basedOn w:val="11"/>
    <w:link w:val="10"/>
    <w:qFormat/>
    <w:uiPriority w:val="0"/>
    <w:rPr>
      <w:rFonts w:ascii="Times New Roman" w:hAnsi="Times New Roman" w:eastAsia="Times New Roman" w:cs="Times New Roman"/>
      <w:b/>
      <w:bCs/>
      <w:szCs w:val="24"/>
      <w:lang w:val="en-US" w:eastAsia="ru-RU"/>
    </w:rPr>
  </w:style>
  <w:style w:type="character" w:customStyle="1" w:styleId="40">
    <w:name w:val="Основной текст с отступом Знак"/>
    <w:basedOn w:val="11"/>
    <w:link w:val="22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customStyle="1" w:styleId="41">
    <w:name w:val="Основной текст Знак"/>
    <w:basedOn w:val="11"/>
    <w:link w:val="20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customStyle="1" w:styleId="42">
    <w:name w:val="Основной текст с отступом 2 Знак"/>
    <w:basedOn w:val="11"/>
    <w:link w:val="25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customStyle="1" w:styleId="43">
    <w:name w:val="Основной текст с отступом 3 Знак"/>
    <w:basedOn w:val="11"/>
    <w:link w:val="17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customStyle="1" w:styleId="44">
    <w:name w:val="Основной текст 2 Знак"/>
    <w:basedOn w:val="11"/>
    <w:link w:val="16"/>
    <w:qFormat/>
    <w:uiPriority w:val="0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customStyle="1" w:styleId="45">
    <w:name w:val="Основной текст 3 Знак"/>
    <w:basedOn w:val="11"/>
    <w:link w:val="24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46">
    <w:name w:val="Нижний колонтитул Знак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7">
    <w:name w:val="Текст выноски Знак"/>
    <w:basedOn w:val="11"/>
    <w:link w:val="15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48">
    <w:name w:val="Heading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2"/>
      <w:szCs w:val="22"/>
      <w:lang w:val="ru-RU" w:eastAsia="ru-RU" w:bidi="ar-SA"/>
    </w:rPr>
  </w:style>
  <w:style w:type="paragraph" w:customStyle="1" w:styleId="49">
    <w:name w:val="Pre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50">
    <w:name w:val="Contex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18"/>
      <w:szCs w:val="1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1.bin"/><Relationship Id="rId71" Type="http://schemas.openxmlformats.org/officeDocument/2006/relationships/fontTable" Target="fontTable.xml"/><Relationship Id="rId70" Type="http://schemas.openxmlformats.org/officeDocument/2006/relationships/customXml" Target="../customXml/item2.xml"/><Relationship Id="rId7" Type="http://schemas.openxmlformats.org/officeDocument/2006/relationships/image" Target="media/image1.png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38.png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theme" Target="theme/theme1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png"/><Relationship Id="rId51" Type="http://schemas.openxmlformats.org/officeDocument/2006/relationships/image" Target="media/image22.png"/><Relationship Id="rId50" Type="http://schemas.openxmlformats.org/officeDocument/2006/relationships/image" Target="media/image21.png"/><Relationship Id="rId5" Type="http://schemas.openxmlformats.org/officeDocument/2006/relationships/footer" Target="footer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1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" Type="http://schemas.openxmlformats.org/officeDocument/2006/relationships/endnotes" Target="endnotes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" Type="http://schemas.openxmlformats.org/officeDocument/2006/relationships/footnotes" Target="footnotes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0.wmf"/><Relationship Id="rId24" Type="http://schemas.openxmlformats.org/officeDocument/2006/relationships/oleObject" Target="embeddings/oleObject9.bin"/><Relationship Id="rId23" Type="http://schemas.openxmlformats.org/officeDocument/2006/relationships/image" Target="media/image9.wmf"/><Relationship Id="rId22" Type="http://schemas.openxmlformats.org/officeDocument/2006/relationships/oleObject" Target="embeddings/oleObject8.bin"/><Relationship Id="rId21" Type="http://schemas.openxmlformats.org/officeDocument/2006/relationships/image" Target="media/image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6.bin"/><Relationship Id="rId17" Type="http://schemas.openxmlformats.org/officeDocument/2006/relationships/image" Target="media/image6.wmf"/><Relationship Id="rId16" Type="http://schemas.openxmlformats.org/officeDocument/2006/relationships/oleObject" Target="embeddings/oleObject5.bin"/><Relationship Id="rId15" Type="http://schemas.openxmlformats.org/officeDocument/2006/relationships/image" Target="media/image5.wmf"/><Relationship Id="rId14" Type="http://schemas.openxmlformats.org/officeDocument/2006/relationships/oleObject" Target="embeddings/oleObject4.bin"/><Relationship Id="rId13" Type="http://schemas.openxmlformats.org/officeDocument/2006/relationships/image" Target="media/image4.wmf"/><Relationship Id="rId12" Type="http://schemas.openxmlformats.org/officeDocument/2006/relationships/oleObject" Target="embeddings/oleObject3.bin"/><Relationship Id="rId11" Type="http://schemas.openxmlformats.org/officeDocument/2006/relationships/image" Target="media/image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0066E1-7382-4F62-8C4B-6702FC7575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16</Pages>
  <Words>3301</Words>
  <Characters>18821</Characters>
  <Lines>156</Lines>
  <Paragraphs>44</Paragraphs>
  <TotalTime>2</TotalTime>
  <ScaleCrop>false</ScaleCrop>
  <LinksUpToDate>false</LinksUpToDate>
  <CharactersWithSpaces>22078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2023-10-10T08:30:00Z</dcterms:created>
  <dc:creator>RePack by Diakov</dc:creator>
  <cp:lastModifiedBy>Люда</cp:lastModifiedBy>
  <dcterms:modified xsi:type="dcterms:W3CDTF">2025-05-11T17:18:04Z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464B70E7061B4D168A7BE4AF73C2B1B0_13</vt:lpwstr>
  </property>
</Properties>
</file>