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60"/>
        <w:jc w:val="both"/>
        <w:keepNext/>
        <w:spacing w:line="360" w:lineRule="auto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4.4 Наименование тем практических работ, их содержание и объем в часах</w:t>
      </w:r>
      <w:r>
        <w:rPr>
          <w:rFonts w:eastAsia="Times New Roman"/>
          <w:b/>
          <w:bCs/>
          <w:color w:val="000000"/>
          <w:sz w:val="24"/>
          <w:szCs w:val="24"/>
        </w:rPr>
      </w:r>
    </w:p>
    <w:tbl>
      <w:tblPr>
        <w:tblW w:w="9747" w:type="dxa"/>
        <w:tblInd w:w="-10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24"/>
        <w:gridCol w:w="6131"/>
        <w:gridCol w:w="1417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п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/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п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№ раздела дисциплины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13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практических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работ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Трудоем-кость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(час)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1.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131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устройства, конструкции, принципа работы </w:t>
            </w:r>
            <w:r>
              <w:rPr>
                <w:rFonts w:eastAsia="Times New Roman"/>
                <w:sz w:val="24"/>
                <w:szCs w:val="24"/>
              </w:rPr>
              <w:t xml:space="preserve">Путевых подогревателей, печей, котлов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</w:t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2.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131" w:type="dxa"/>
            <w:textDirection w:val="lrTb"/>
            <w:noWrap w:val="false"/>
          </w:tcPr>
          <w:p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типов топливных систем, конструктивных особенностей форсунки, ТНВД</w:t>
            </w:r>
            <w:r>
              <w:rPr>
                <w:rFonts w:eastAsia="Times New Roman"/>
                <w:sz w:val="24"/>
                <w:szCs w:val="24"/>
              </w:rPr>
              <w:t xml:space="preserve">,</w:t>
            </w:r>
            <w:r>
              <w:rPr>
                <w:rFonts w:eastAsia="Times New Roman"/>
                <w:sz w:val="24"/>
                <w:szCs w:val="24"/>
              </w:rPr>
              <w:t xml:space="preserve"> топки, </w:t>
            </w:r>
            <w:r>
              <w:rPr>
                <w:rFonts w:eastAsia="Times New Roman"/>
                <w:sz w:val="24"/>
                <w:szCs w:val="24"/>
              </w:rPr>
              <w:t xml:space="preserve">воздухоочищающих</w:t>
            </w:r>
            <w:r>
              <w:rPr>
                <w:rFonts w:eastAsia="Times New Roman"/>
                <w:sz w:val="24"/>
                <w:szCs w:val="24"/>
              </w:rPr>
              <w:t xml:space="preserve"> насосов, фильтров</w:t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</w:t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3.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131" w:type="dxa"/>
            <w:textDirection w:val="lrTb"/>
            <w:noWrap w:val="false"/>
          </w:tcPr>
          <w:p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устройства, конструкции, принципа работы четырехтактного ДВС по макету</w:t>
            </w:r>
            <w:r>
              <w:rPr>
                <w:rFonts w:eastAsia="Times New Roman"/>
                <w:sz w:val="24"/>
                <w:szCs w:val="24"/>
              </w:rPr>
              <w:t xml:space="preserve">.</w:t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Составить схему рабочего цикла, построить диаграмму фаз газораспределения, индикаторную диаграмму. </w:t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</w:t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4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131" w:type="dxa"/>
            <w:textDirection w:val="lrTb"/>
            <w:noWrap w:val="false"/>
          </w:tcPr>
          <w:p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Определить объемы цилиндра, степень сжатия, диаметр цилиндра, ход поршня. Рассчитать показатели эффективности, экономичности, совершенства конструкции.</w:t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</w:t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pPr>
        <w:numPr>
          <w:ilvl w:val="0"/>
          <w:numId w:val="1"/>
        </w:numPr>
        <w:keepNext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Учебно-методическое и информационное обеспечение дисциплины:</w:t>
      </w:r>
      <w:r>
        <w:rPr>
          <w:rFonts w:eastAsia="Times New Roman"/>
          <w:b/>
          <w:bCs/>
          <w:sz w:val="24"/>
          <w:szCs w:val="24"/>
        </w:rPr>
      </w:r>
    </w:p>
    <w:p>
      <w:pPr>
        <w:ind w:firstLine="709"/>
        <w:jc w:val="both"/>
        <w:keepNext/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а) Основная литература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</w: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35"/>
        <w:gridCol w:w="9054"/>
      </w:tblGrid>
      <w:tr>
        <w:tblPrEx/>
        <w:trPr>
          <w:trHeight w:val="354"/>
        </w:trPr>
        <w:tc>
          <w:tcPr>
            <w:tcW w:w="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Номер</w:t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  <w:tc>
          <w:tcPr>
            <w:tcW w:w="90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Наименование книги</w:t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354"/>
        </w:trPr>
        <w:tc>
          <w:tcPr>
            <w:tcW w:w="835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W w:w="9054" w:type="dxa"/>
            <w:textDirection w:val="lrTb"/>
            <w:noWrap w:val="false"/>
          </w:tcPr>
          <w:p>
            <w:pPr>
              <w:pStyle w:val="648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Визгалов</w:t>
            </w:r>
            <w:r>
              <w:rPr>
                <w:bCs/>
                <w:szCs w:val="17"/>
              </w:rPr>
              <w:t xml:space="preserve">, С. В. Тепловой расчет и подбор основного оборудования парокомпрессионной холодильной машины [Электронный ресурс]</w:t>
            </w:r>
            <w:r>
              <w:rPr>
                <w:bCs/>
                <w:szCs w:val="17"/>
              </w:rPr>
              <w:t xml:space="preserve"> :</w:t>
            </w:r>
            <w:r>
              <w:rPr>
                <w:bCs/>
                <w:szCs w:val="17"/>
              </w:rPr>
              <w:t xml:space="preserve"> учебное пособие / С. В. </w:t>
            </w:r>
            <w:r>
              <w:rPr>
                <w:bCs/>
                <w:szCs w:val="17"/>
              </w:rPr>
              <w:t xml:space="preserve">Визгалов</w:t>
            </w:r>
            <w:r>
              <w:rPr>
                <w:bCs/>
                <w:szCs w:val="17"/>
              </w:rPr>
              <w:t xml:space="preserve">, С. Л. Фосс, И. И. Шарапов. — Электрон</w:t>
            </w:r>
            <w:r>
              <w:rPr>
                <w:bCs/>
                <w:szCs w:val="17"/>
              </w:rPr>
              <w:t xml:space="preserve">.</w:t>
            </w:r>
            <w:r>
              <w:rPr>
                <w:bCs/>
                <w:szCs w:val="17"/>
              </w:rPr>
              <w:t xml:space="preserve"> </w:t>
            </w:r>
            <w:r>
              <w:rPr>
                <w:bCs/>
                <w:szCs w:val="17"/>
              </w:rPr>
              <w:t xml:space="preserve">т</w:t>
            </w:r>
            <w:r>
              <w:rPr>
                <w:bCs/>
                <w:szCs w:val="17"/>
              </w:rPr>
              <w:t xml:space="preserve">екстовые данные. — Казань</w:t>
            </w:r>
            <w:r>
              <w:rPr>
                <w:bCs/>
                <w:szCs w:val="17"/>
              </w:rPr>
              <w:t xml:space="preserve"> :</w:t>
            </w:r>
            <w:r>
              <w:rPr>
                <w:bCs/>
                <w:szCs w:val="17"/>
              </w:rPr>
              <w:t xml:space="preserve"> Казанский национальный исследовательский технологический университет, 2016. — 96 </w:t>
            </w:r>
            <w:r>
              <w:rPr>
                <w:bCs/>
                <w:szCs w:val="17"/>
              </w:rPr>
              <w:t xml:space="preserve">c</w:t>
            </w:r>
            <w:r>
              <w:rPr>
                <w:bCs/>
                <w:szCs w:val="17"/>
              </w:rPr>
              <w:t xml:space="preserve">. — 978-5-7882-1955-4. — Режим доступа: http://www.iprbookshop.ru/79559.html</w:t>
            </w:r>
            <w:r>
              <w:rPr>
                <w:bCs/>
                <w:szCs w:val="17"/>
              </w:rPr>
            </w:r>
          </w:p>
        </w:tc>
      </w:tr>
      <w:tr>
        <w:tblPrEx/>
        <w:trPr>
          <w:trHeight w:val="354"/>
        </w:trPr>
        <w:tc>
          <w:tcPr>
            <w:tcW w:w="835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smallCaps/>
                <w:color w:val="ff0000"/>
                <w:sz w:val="24"/>
                <w:szCs w:val="24"/>
              </w:rPr>
              <w:outlineLvl w:val="8"/>
            </w:pPr>
            <w:r>
              <w:rPr>
                <w:rFonts w:eastAsia="Times New Roman"/>
                <w:smallCaps/>
                <w:sz w:val="24"/>
                <w:szCs w:val="24"/>
              </w:rPr>
              <w:t xml:space="preserve">2</w:t>
            </w:r>
            <w:r>
              <w:rPr>
                <w:rFonts w:eastAsia="Times New Roman"/>
                <w:smallCaps/>
                <w:color w:val="ff0000"/>
                <w:sz w:val="24"/>
                <w:szCs w:val="24"/>
              </w:rPr>
            </w:r>
          </w:p>
        </w:tc>
        <w:tc>
          <w:tcPr>
            <w:tcW w:w="9054" w:type="dxa"/>
            <w:textDirection w:val="lrTb"/>
            <w:noWrap w:val="false"/>
          </w:tcPr>
          <w:p>
            <w:pPr>
              <w:pStyle w:val="648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Тепловые двигатели и нагнетатели [Электронный ресурс]</w:t>
            </w:r>
            <w:r>
              <w:rPr>
                <w:bCs/>
                <w:szCs w:val="17"/>
              </w:rPr>
              <w:t xml:space="preserve"> :</w:t>
            </w:r>
            <w:r>
              <w:rPr>
                <w:bCs/>
                <w:szCs w:val="17"/>
              </w:rPr>
              <w:t xml:space="preserve"> учебное пособие / С. А. Наумов, Е. В. Хаустова, А. В. Садчиков [и др.]. — Электрон</w:t>
            </w:r>
            <w:r>
              <w:rPr>
                <w:bCs/>
                <w:szCs w:val="17"/>
              </w:rPr>
              <w:t xml:space="preserve">.</w:t>
            </w:r>
            <w:r>
              <w:rPr>
                <w:bCs/>
                <w:szCs w:val="17"/>
              </w:rPr>
              <w:t xml:space="preserve"> </w:t>
            </w:r>
            <w:r>
              <w:rPr>
                <w:bCs/>
                <w:szCs w:val="17"/>
              </w:rPr>
              <w:t xml:space="preserve">т</w:t>
            </w:r>
            <w:r>
              <w:rPr>
                <w:bCs/>
                <w:szCs w:val="17"/>
              </w:rPr>
              <w:t xml:space="preserve">екстовые данные. — Оренбург</w:t>
            </w:r>
            <w:r>
              <w:rPr>
                <w:bCs/>
                <w:szCs w:val="17"/>
              </w:rPr>
              <w:t xml:space="preserve"> :</w:t>
            </w:r>
            <w:r>
              <w:rPr>
                <w:bCs/>
                <w:szCs w:val="17"/>
              </w:rPr>
              <w:t xml:space="preserve"> Оренбургский государственный университет, ЭБС АСВ, 2015. — 109 </w:t>
            </w:r>
            <w:r>
              <w:rPr>
                <w:bCs/>
                <w:szCs w:val="17"/>
              </w:rPr>
              <w:t xml:space="preserve">c</w:t>
            </w:r>
            <w:r>
              <w:rPr>
                <w:bCs/>
                <w:szCs w:val="17"/>
              </w:rPr>
              <w:t xml:space="preserve">. — 978-5-7410-1380-9. — Режим доступа: http://www.iprbookshop.ru/61415.html</w:t>
            </w:r>
            <w:r>
              <w:rPr>
                <w:bCs/>
                <w:szCs w:val="17"/>
              </w:rPr>
            </w:r>
          </w:p>
        </w:tc>
      </w:tr>
    </w:tbl>
    <w:p>
      <w:pPr>
        <w:ind w:firstLine="709"/>
        <w:jc w:val="both"/>
        <w:keepNext/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jc w:val="both"/>
        <w:keepNext/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б) Дополнительная литература</w:t>
      </w:r>
      <w:r>
        <w:rPr>
          <w:rFonts w:eastAsia="Times New Roman"/>
          <w:b/>
          <w:bCs/>
          <w:sz w:val="24"/>
          <w:szCs w:val="24"/>
        </w:rPr>
      </w:r>
    </w:p>
    <w:tbl>
      <w:tblPr>
        <w:tblW w:w="9315" w:type="dxa"/>
        <w:jc w:val="center"/>
        <w:tblInd w:w="-9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802"/>
        <w:gridCol w:w="7513"/>
      </w:tblGrid>
      <w:tr>
        <w:tblPrEx/>
        <w:trPr>
          <w:jc w:val="center"/>
          <w:trHeight w:val="354"/>
        </w:trPr>
        <w:tc>
          <w:tcPr>
            <w:tcW w:w="18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Номер</w:t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  <w:tc>
          <w:tcPr>
            <w:tcW w:w="75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Наименование книги</w:t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274"/>
        </w:trPr>
        <w:tc>
          <w:tcPr>
            <w:tcW w:w="1802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smallCaps/>
                <w:sz w:val="24"/>
                <w:szCs w:val="24"/>
                <w:highlight w:val="yellow"/>
              </w:rPr>
              <w:outlineLvl w:val="8"/>
            </w:pPr>
            <w:r>
              <w:rPr>
                <w:rFonts w:eastAsia="Times New Roman"/>
                <w:smallCaps/>
                <w:sz w:val="24"/>
                <w:szCs w:val="24"/>
              </w:rPr>
              <w:t xml:space="preserve">1</w:t>
            </w:r>
            <w:r>
              <w:rPr>
                <w:rFonts w:eastAsia="Times New Roman"/>
                <w:smallCaps/>
                <w:sz w:val="24"/>
                <w:szCs w:val="24"/>
                <w:highlight w:val="yellow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pStyle w:val="648"/>
              <w:rPr>
                <w:bCs/>
                <w:szCs w:val="17"/>
                <w:highlight w:val="yellow"/>
              </w:rPr>
            </w:pPr>
            <w:r>
              <w:rPr>
                <w:bCs/>
                <w:szCs w:val="17"/>
              </w:rPr>
              <w:t xml:space="preserve">Пахомов, Ю. А.  Основы научных исследований и испытаний тепловых двигателей: учебник для вузов / Пахомов, Ю. А. - М. : </w:t>
            </w:r>
            <w:r>
              <w:rPr>
                <w:bCs/>
                <w:szCs w:val="17"/>
              </w:rPr>
              <w:t xml:space="preserve">ТрансЛит</w:t>
            </w:r>
            <w:r>
              <w:rPr>
                <w:bCs/>
                <w:szCs w:val="17"/>
              </w:rPr>
              <w:t xml:space="preserve">, 2009. - 429 с. : ил.</w:t>
            </w:r>
            <w:r>
              <w:rPr>
                <w:bCs/>
                <w:szCs w:val="17"/>
              </w:rPr>
              <w:t xml:space="preserve"> ,</w:t>
            </w:r>
            <w:r>
              <w:rPr>
                <w:bCs/>
                <w:szCs w:val="17"/>
              </w:rPr>
              <w:t xml:space="preserve"> табл.</w:t>
            </w:r>
            <w:r>
              <w:rPr>
                <w:bCs/>
                <w:szCs w:val="17"/>
              </w:rPr>
              <w:t xml:space="preserve">- 20 экз.</w:t>
            </w:r>
            <w:r>
              <w:rPr>
                <w:bCs/>
                <w:szCs w:val="17"/>
                <w:highlight w:val="yellow"/>
              </w:rPr>
            </w:r>
          </w:p>
        </w:tc>
      </w:tr>
      <w:tr>
        <w:tblPrEx/>
        <w:trPr>
          <w:jc w:val="center"/>
          <w:trHeight w:val="354"/>
        </w:trPr>
        <w:tc>
          <w:tcPr>
            <w:tcW w:w="1802" w:type="dxa"/>
            <w:textDirection w:val="lrTb"/>
            <w:noWrap w:val="false"/>
          </w:tcPr>
          <w:p>
            <w:pPr>
              <w:jc w:val="both"/>
              <w:rPr>
                <w:rFonts w:eastAsia="Times New Roman"/>
                <w:smallCaps/>
                <w:sz w:val="24"/>
                <w:szCs w:val="24"/>
              </w:rPr>
              <w:outlineLvl w:val="8"/>
            </w:pPr>
            <w:r>
              <w:rPr>
                <w:rFonts w:eastAsia="Times New Roman"/>
                <w:smallCaps/>
                <w:sz w:val="24"/>
                <w:szCs w:val="24"/>
              </w:rPr>
              <w:t xml:space="preserve">2</w:t>
            </w:r>
            <w:r>
              <w:rPr>
                <w:rFonts w:eastAsia="Times New Roman"/>
                <w:smallCaps/>
                <w:sz w:val="24"/>
                <w:szCs w:val="24"/>
              </w:rPr>
            </w:r>
          </w:p>
        </w:tc>
        <w:tc>
          <w:tcPr>
            <w:tcW w:w="7513" w:type="dxa"/>
            <w:textDirection w:val="lrTb"/>
            <w:noWrap w:val="false"/>
          </w:tcPr>
          <w:p>
            <w:pPr>
              <w:pStyle w:val="648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Алемасов</w:t>
            </w:r>
            <w:r>
              <w:rPr>
                <w:bCs/>
                <w:szCs w:val="17"/>
              </w:rPr>
              <w:t xml:space="preserve">, В. Е.  Основы теории физико-химических процессов в тепловых двигателях и энергетических установках: учеб</w:t>
            </w:r>
            <w:r>
              <w:rPr>
                <w:bCs/>
                <w:szCs w:val="17"/>
              </w:rPr>
              <w:t xml:space="preserve">.</w:t>
            </w:r>
            <w:r>
              <w:rPr>
                <w:bCs/>
                <w:szCs w:val="17"/>
              </w:rPr>
              <w:t xml:space="preserve"> </w:t>
            </w:r>
            <w:r>
              <w:rPr>
                <w:bCs/>
                <w:szCs w:val="17"/>
              </w:rPr>
              <w:t xml:space="preserve">п</w:t>
            </w:r>
            <w:r>
              <w:rPr>
                <w:bCs/>
                <w:szCs w:val="17"/>
              </w:rPr>
              <w:t xml:space="preserve">особие для вузов / </w:t>
            </w:r>
            <w:r>
              <w:rPr>
                <w:bCs/>
                <w:szCs w:val="17"/>
              </w:rPr>
              <w:t xml:space="preserve">Алемасов</w:t>
            </w:r>
            <w:r>
              <w:rPr>
                <w:bCs/>
                <w:szCs w:val="17"/>
              </w:rPr>
              <w:t xml:space="preserve">, В. Е., </w:t>
            </w:r>
            <w:r>
              <w:rPr>
                <w:bCs/>
                <w:szCs w:val="17"/>
              </w:rPr>
              <w:t xml:space="preserve">Дрегалин</w:t>
            </w:r>
            <w:r>
              <w:rPr>
                <w:bCs/>
                <w:szCs w:val="17"/>
              </w:rPr>
              <w:t xml:space="preserve">, А. Ф., Черенков, А. С. - М. : Химия, 2000. - 520 с. :</w:t>
            </w:r>
            <w:r>
              <w:rPr>
                <w:bCs/>
                <w:szCs w:val="17"/>
              </w:rPr>
              <w:t xml:space="preserve">-30 экз.</w:t>
            </w:r>
            <w:r>
              <w:rPr>
                <w:bCs/>
                <w:szCs w:val="17"/>
              </w:rPr>
            </w:r>
          </w:p>
        </w:tc>
      </w:tr>
    </w:tbl>
    <w:p>
      <w:pPr>
        <w:jc w:val="both"/>
        <w:keepNext/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ind w:firstLine="426"/>
        <w:keepNext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в) перечень ресурсов информационно-коммуникационной сети Интернет</w:t>
      </w:r>
      <w:r>
        <w:rPr>
          <w:rFonts w:eastAsia="Times New Roman"/>
          <w:b/>
          <w:bCs/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1. Электронно-библиотечная система ЭБС </w:t>
      </w:r>
      <w:r>
        <w:rPr>
          <w:sz w:val="24"/>
          <w:szCs w:val="24"/>
        </w:rPr>
        <w:t xml:space="preserve">IPRbooks</w:t>
      </w:r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/>
      <w:hyperlink r:id="rId9" w:tooltip="http://istu.ru/material/elektronno-bibliotechnaya-sistema-iprbooks" w:history="1">
        <w:r>
          <w:rPr>
            <w:sz w:val="24"/>
            <w:szCs w:val="24"/>
          </w:rPr>
          <w:t xml:space="preserve">http://istu.ru/material/elektronno-bibliotechnaya-sistema-iprbooks</w:t>
        </w:r>
      </w:hyperlink>
      <w:r/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2. Электронный каталог научной библиотеки ИжГТУ имени М.Т. Калашникова </w:t>
      </w:r>
      <w:r>
        <w:rPr>
          <w:sz w:val="24"/>
          <w:szCs w:val="24"/>
        </w:rPr>
        <w:t xml:space="preserve">Web</w:t>
      </w:r>
      <w:r>
        <w:rPr>
          <w:sz w:val="24"/>
          <w:szCs w:val="24"/>
        </w:rPr>
        <w:t xml:space="preserve"> ИРБИС </w:t>
      </w:r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/>
      <w:hyperlink r:id="rId10" w:tooltip="http://94.181.117.43/cgibin/irbis64r_12/cgiirbis_64.exe?LNG=&amp;C21COM=F&amp;I21DBN=IBIS&amp;P21DBN=IRBIS" w:history="1">
        <w:r>
          <w:rPr>
            <w:sz w:val="24"/>
            <w:szCs w:val="24"/>
          </w:rPr>
          <w:t xml:space="preserve">http://94.181.117.43/cgibin/irbis64r_12/cgiirbis_64.exe?LNG=&amp;C21COM=F&amp;I21DBN=IBIS&amp;P21DBN=IRBIS</w:t>
        </w:r>
      </w:hyperlink>
      <w:r/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3. Национальная электронная библиотека -  </w:t>
      </w:r>
      <w:hyperlink r:id="rId11" w:tooltip="http://xn--90ax2c.xn--p1ai/" w:history="1">
        <w:r>
          <w:rPr>
            <w:sz w:val="24"/>
            <w:szCs w:val="24"/>
          </w:rPr>
          <w:t xml:space="preserve">http://нэб.рф</w:t>
        </w:r>
      </w:hyperlink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4. Мировая цифровая библиотека – </w:t>
      </w:r>
      <w:hyperlink r:id="rId12" w:tooltip="http://www.wdl.org/ru/" w:history="1">
        <w:r>
          <w:rPr>
            <w:sz w:val="24"/>
            <w:szCs w:val="24"/>
          </w:rPr>
          <w:t xml:space="preserve">http://www.wdl.org/ru/</w:t>
        </w:r>
      </w:hyperlink>
      <w:r/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5. Международный индекс научного цитирования </w:t>
      </w:r>
      <w:r>
        <w:rPr>
          <w:sz w:val="24"/>
          <w:szCs w:val="24"/>
        </w:rPr>
        <w:t xml:space="preserve">Web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Science</w:t>
      </w:r>
      <w:r>
        <w:rPr>
          <w:sz w:val="24"/>
          <w:szCs w:val="24"/>
        </w:rPr>
        <w:t xml:space="preserve"> –</w:t>
      </w:r>
      <w:hyperlink r:id="rId13" w:tooltip="http://webofscience.com/" w:history="1">
        <w:r>
          <w:rPr>
            <w:sz w:val="24"/>
            <w:szCs w:val="24"/>
          </w:rPr>
          <w:t xml:space="preserve">http://webofscience.com</w:t>
        </w:r>
      </w:hyperlink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6. Научная электронная </w:t>
      </w:r>
      <w:r>
        <w:rPr>
          <w:sz w:val="24"/>
          <w:szCs w:val="24"/>
        </w:rPr>
        <w:t xml:space="preserve">библиотека</w:t>
      </w:r>
      <w:r>
        <w:rPr>
          <w:sz w:val="24"/>
          <w:szCs w:val="24"/>
        </w:rPr>
        <w:t xml:space="preserve">e</w:t>
      </w:r>
      <w:r>
        <w:rPr>
          <w:sz w:val="24"/>
          <w:szCs w:val="24"/>
        </w:rPr>
        <w:t xml:space="preserve">-LIBRARY.RU</w:t>
      </w:r>
      <w:r>
        <w:rPr>
          <w:sz w:val="24"/>
          <w:szCs w:val="24"/>
        </w:rPr>
        <w:t xml:space="preserve"> – </w:t>
      </w:r>
      <w:hyperlink r:id="rId14" w:tooltip="https://elibrary.ru/defaultx.asp" w:history="1">
        <w:r>
          <w:rPr>
            <w:sz w:val="24"/>
            <w:szCs w:val="24"/>
          </w:rPr>
          <w:t xml:space="preserve">https://elibrary.ru/defaultx.asp</w:t>
        </w:r>
      </w:hyperlink>
      <w:r/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7. Техническая библиотека http://www.tehlit.ru/</w:t>
      </w:r>
      <w:r>
        <w:rPr>
          <w:sz w:val="24"/>
          <w:szCs w:val="24"/>
        </w:rPr>
      </w:r>
    </w:p>
    <w:p>
      <w:pPr>
        <w:contextualSpacing/>
        <w:ind w:firstLine="709"/>
        <w:jc w:val="both"/>
        <w:keepNext/>
        <w:rPr>
          <w:sz w:val="24"/>
          <w:szCs w:val="24"/>
        </w:rPr>
      </w:pPr>
      <w:r>
        <w:rPr>
          <w:sz w:val="24"/>
          <w:szCs w:val="24"/>
        </w:rPr>
        <w:t xml:space="preserve">8. Справочно-правовая система Консультант Плюс http://www.consultant.ru/</w:t>
      </w:r>
      <w:r>
        <w:rPr>
          <w:sz w:val="24"/>
          <w:szCs w:val="24"/>
        </w:rPr>
      </w:r>
    </w:p>
    <w:p>
      <w:r/>
      <w:r/>
    </w:p>
    <w:p>
      <w:r/>
      <w:r/>
    </w:p>
    <w:p>
      <w:pPr>
        <w:jc w:val="both"/>
        <w:widowControl w:val="off"/>
        <w:tabs>
          <w:tab w:val="left" w:pos="9923" w:leader="dot"/>
        </w:tabs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Перечень вопросов для проведения 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экзамена: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природных энергетических ресурсов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Виды энергетических природных ресурсов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Способы получения энергетических ресурсов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Существующая классификация двигателей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Основные проблемы развития энергомашиностроения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Тепловая энергия – способы получения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Электрическая энергия – способы получения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Механическая энергия – способы получения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Способы получения альтернативной  энергии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Сущность работы ТЭЦ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Сущность работы ГЭС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Сущность работы АЭС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Классификация двигателей внутреннего сгорания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четырехтактного двигателя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Блок-картер  двигателя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Гильзы, цилиндр</w:t>
      </w:r>
      <w:r>
        <w:rPr>
          <w:rFonts w:eastAsia="Times New Roman"/>
          <w:sz w:val="24"/>
          <w:szCs w:val="24"/>
        </w:rPr>
        <w:t xml:space="preserve">ы(</w:t>
      </w:r>
      <w:r>
        <w:rPr>
          <w:rFonts w:eastAsia="Times New Roman"/>
          <w:sz w:val="24"/>
          <w:szCs w:val="24"/>
        </w:rPr>
        <w:t xml:space="preserve">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Поршневая группа (назначение, условия и требования к работе, основные детали)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Поршень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Поршневые кольца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Поршневой палец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ind w:right="-20"/>
        <w:widowControl w:val="off"/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r>
    </w:p>
    <w:p>
      <w:pPr>
        <w:jc w:val="both"/>
        <w:widowControl w:val="off"/>
        <w:tabs>
          <w:tab w:val="left" w:pos="9923" w:leader="dot"/>
        </w:tabs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Перечень вопросов для проведения 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зачета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  <w:t xml:space="preserve">: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Шатунная группа (назначение, условия и требования к работе, основные детали)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Шатун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Подшипники шатунной группы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Коленчатый вал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Маховик (назначение, условия и требования к работе)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Печь, назначение, классификация, схема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Котлы, назначение, классификация, схема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термосифонной и принудительной систем отопления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работы, устройство путевого подогревателя (ПП-0,63, ПП-1,6)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работы, устройство подогревателя нефти комбинированного (ПНК)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Виды топлив для работы котлов и печей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Горелки газовые, назначение, классификация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горелки типа ГИ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горелки типа ГМГ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Назначение, принцип работы АЭС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ядерного реактора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Назначение, принцип работы градирни.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Паровая машина, принцип работы.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Паровой двигатель, принцип работы.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Состав воздуха, состав природного газ, ПНГ (основные компоненты)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Горение топлива на примере метана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такое теплота сгорания?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Какая теплота сгорания называется низшей?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Какая теплота сгорания называется высшей?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 рассчитывается теплота сгорания по объемной доле компонента?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такое МДж?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такое </w:t>
      </w:r>
      <w:r>
        <w:rPr>
          <w:rFonts w:eastAsia="Times New Roman"/>
          <w:sz w:val="24"/>
          <w:szCs w:val="24"/>
        </w:rPr>
        <w:t xml:space="preserve">ккал</w:t>
      </w:r>
      <w:r>
        <w:rPr>
          <w:rFonts w:eastAsia="Times New Roman"/>
          <w:sz w:val="24"/>
          <w:szCs w:val="24"/>
        </w:rPr>
        <w:t xml:space="preserve">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каких единицах рассчитывается теплота сгорания?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 перевести МДж в </w:t>
      </w:r>
      <w:r>
        <w:rPr>
          <w:rFonts w:eastAsia="Times New Roman"/>
          <w:sz w:val="24"/>
          <w:szCs w:val="24"/>
        </w:rPr>
        <w:t xml:space="preserve">ккал</w:t>
      </w:r>
      <w:r>
        <w:rPr>
          <w:rFonts w:eastAsia="Times New Roman"/>
          <w:sz w:val="24"/>
          <w:szCs w:val="24"/>
        </w:rPr>
        <w:t xml:space="preserve">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такое относительная плотность газа?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Чем относительная плотность отличается от физической плотности газа?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подогревателей нефти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работы горелочных устройств газовых и мазутных</w:t>
      </w:r>
      <w:r>
        <w:rPr>
          <w:rFonts w:eastAsia="Times New Roman"/>
          <w:sz w:val="24"/>
          <w:szCs w:val="24"/>
        </w:rPr>
      </w:r>
    </w:p>
    <w:p>
      <w:r/>
      <w:r/>
    </w:p>
    <w:p>
      <w:r/>
      <w:r/>
    </w:p>
    <w:p>
      <w:pPr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Варианты заданий</w:t>
      </w:r>
      <w:r>
        <w:rPr>
          <w:rFonts w:eastAsia="Times New Roman"/>
          <w:b/>
          <w:i/>
          <w:sz w:val="24"/>
          <w:szCs w:val="24"/>
        </w:rPr>
        <w:t xml:space="preserve"> КР</w:t>
      </w:r>
      <w:r>
        <w:rPr>
          <w:rFonts w:eastAsia="Times New Roman"/>
          <w:b/>
          <w:i/>
          <w:sz w:val="24"/>
          <w:szCs w:val="24"/>
        </w:rPr>
        <w:t xml:space="preserve">: </w:t>
      </w:r>
      <w:r>
        <w:rPr>
          <w:rFonts w:eastAsia="Times New Roman"/>
          <w:b/>
          <w:i/>
          <w:sz w:val="24"/>
          <w:szCs w:val="24"/>
        </w:rPr>
      </w:r>
    </w:p>
    <w:p>
      <w:pPr>
        <w:ind w:right="-20"/>
        <w:widowControl w:val="off"/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</w:rPr>
        <w:t xml:space="preserve">Электрические расчёты и выбор схем и элементов системы электроснабжения объекта нефтегазового комплекса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r>
    </w:p>
    <w:p>
      <w:pPr>
        <w:ind w:right="-20" w:firstLine="567"/>
        <w:jc w:val="both"/>
        <w:widowControl w:val="off"/>
        <w:rPr>
          <w:rFonts w:eastAsia="Times New Roman"/>
          <w:bCs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Исходные данные к заданию: 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выбрать 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объект НГК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согласно варианта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 (скважина, КС, НПС, НПЗ, Вычислительные залы и др.); вид источника питания (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электросистема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, ЭССН), характерные 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электроприемники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 и режимы их использования.</w:t>
      </w:r>
      <w:r>
        <w:t xml:space="preserve"> 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З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адание выполняется на уровне расчетно-графической работы (РГР) Разрабатываемая СЭС должна быть не сложной, с наглядной схемой коммутаций. Обязательной за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  <w:t xml:space="preserve">дачей является разработка АСУ, включая телеуправление, описание АРМ диспетчера, системы контроля режимов, АСКУЭ, АВР и др. Системы автоматизации разрабатываются на уровне функциональных схем с описанием автоматизируемых функций, и оценкой состава приборов.</w:t>
      </w:r>
      <w:r>
        <w:rPr>
          <w:rFonts w:eastAsia="Times New Roman"/>
          <w:bCs/>
          <w:iCs/>
          <w:color w:val="000000"/>
          <w:sz w:val="24"/>
          <w:szCs w:val="24"/>
          <w:lang w:eastAsia="en-US"/>
        </w:rPr>
      </w:r>
    </w:p>
    <w:p>
      <w:pPr>
        <w:ind w:right="-20"/>
        <w:widowControl w:val="off"/>
        <w:rPr>
          <w:rFonts w:eastAsia="Times New Roman"/>
          <w:bCs/>
          <w:i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Cs/>
          <w:i/>
          <w:iCs/>
          <w:color w:val="000000"/>
          <w:sz w:val="24"/>
          <w:szCs w:val="24"/>
          <w:lang w:eastAsia="en-US"/>
        </w:rPr>
        <w:t xml:space="preserve"> Пример: Электроснабжение завода по ремонту нефтяного оборудования</w:t>
      </w:r>
      <w:r>
        <w:rPr>
          <w:rFonts w:eastAsia="Times New Roman"/>
          <w:bCs/>
          <w:i/>
          <w:iCs/>
          <w:color w:val="000000"/>
          <w:sz w:val="24"/>
          <w:szCs w:val="24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Исходные данные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Электрические нагрузки промышленных предприятий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Электрооборудование и внутрицеховые электрические сети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Мероприятия и средств безопасности труда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Мероприятия по защите окружающей среды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/>
          <w:iCs/>
          <w:color w:val="000000"/>
          <w:lang w:eastAsia="en-US"/>
        </w:rPr>
        <w:t xml:space="preserve">Пример: </w:t>
      </w:r>
      <w:r>
        <w:rPr>
          <w:bCs/>
          <w:i/>
          <w:iCs/>
          <w:color w:val="000000"/>
          <w:lang w:eastAsia="en-US"/>
        </w:rPr>
        <w:t xml:space="preserve">Энергетические характеристики штангового насоса.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Основные энергетические характеристики электропривода и ШСНУ.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Вопросы энергетической эффективности ШСНУ.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Возможность повышения энергетических показателей ШСНУ при применении вентильного электропривода.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Специфика нагрузки электропривода ШСНУ.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Моделирования рабочего механизма электропривода ШСНУ.</w:t>
      </w:r>
      <w:r>
        <w:rPr>
          <w:bCs/>
          <w:iCs/>
          <w:color w:val="000000"/>
          <w:lang w:eastAsia="en-US"/>
        </w:rPr>
      </w:r>
    </w:p>
    <w:p>
      <w:pPr>
        <w:pStyle w:val="649"/>
        <w:ind w:right="-20"/>
        <w:widowControl w:val="off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Итоги исследований и выводы.</w:t>
      </w:r>
      <w:r>
        <w:rPr>
          <w:bCs/>
          <w:iCs/>
          <w:color w:val="000000"/>
          <w:lang w:eastAsia="en-US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tab/>
      </w:r>
      <w:r>
        <w:tab/>
      </w:r>
      <w:r>
        <w:tab/>
      </w:r>
      <w:r>
        <w:rPr>
          <w:b/>
        </w:rPr>
        <w:t xml:space="preserve">ТЕСТ</w:t>
      </w:r>
      <w:r>
        <w:rPr>
          <w:b/>
        </w:rPr>
      </w:r>
    </w:p>
    <w:p>
      <w:pPr>
        <w:ind w:right="-20"/>
        <w:widowControl w:val="off"/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Привести варианты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n-US"/>
        </w:rPr>
      </w:r>
    </w:p>
    <w:p>
      <w:pPr>
        <w:numPr>
          <w:ilvl w:val="0"/>
          <w:numId w:val="4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такое </w:t>
      </w:r>
      <w:r>
        <w:rPr>
          <w:rFonts w:eastAsia="Times New Roman"/>
          <w:sz w:val="24"/>
          <w:szCs w:val="24"/>
        </w:rPr>
        <w:t xml:space="preserve">ресурсоведение</w:t>
      </w:r>
      <w:r>
        <w:rPr>
          <w:rFonts w:eastAsia="Times New Roman"/>
          <w:sz w:val="24"/>
          <w:szCs w:val="24"/>
        </w:rPr>
        <w:t xml:space="preserve">?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1) наука, объектом которой служат полезные </w:t>
      </w:r>
      <w:r>
        <w:rPr>
          <w:rFonts w:eastAsia="Times New Roman"/>
          <w:sz w:val="24"/>
          <w:szCs w:val="24"/>
        </w:rPr>
        <w:t xml:space="preserve">ископаемые</w:t>
      </w:r>
      <w:r>
        <w:rPr>
          <w:rFonts w:eastAsia="Times New Roman"/>
          <w:sz w:val="24"/>
          <w:szCs w:val="24"/>
        </w:rPr>
        <w:t xml:space="preserve"> находящиеся в толще грунта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2) межотраслевая дисциплина, изучающая закономерности формирования и пространственное размещение различных типов ресурсов. 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3) раздел географии, занимающийся ведением наблюдений за ресурсным потенциалом регионов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5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 словом «ресурсы» понимают: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1) количество полезных материалов залегающих в конкретной единичной площади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2) блага природы направленные на поддержание жизнедеятельности человека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3) любые источники и предпосылки получения необходимых людям материальных и духовных благ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6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Энергетические ресурсы это: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1)  все доступные для промышленного и бытового использования источники разнообразных видов энергии: механической, тепловой, химической, электрической, ядерной. 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2) особый вид полезных ископаемых, способных воспроизводить энергетический заряд за счёт своей переработки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3) энергоресурс, который осуществляет выработку электрической энергии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7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Что относится к депонированным энергетическим ресурсам: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1) природный газ, уголь, нефть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2) горючие сланцы, торф, залежи фосфоритов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3) солнечная и космическая энергия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8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перечень атмосферных газовых ресурсов входят: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1)  геотермальная, гравитационная и энергия давления, атмосферное газовое электричество, Земной магнетизм, </w:t>
      </w:r>
      <w:r>
        <w:rPr>
          <w:rFonts w:eastAsia="Times New Roman"/>
          <w:sz w:val="24"/>
          <w:szCs w:val="24"/>
        </w:rPr>
        <w:t xml:space="preserve">биоэнергия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2) атомная и термоядерная энергии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3) ресурсы отдельных газов атмосферы, газовые составляющие гидросферы, газовые составляющие почвы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  <w:outlineLvl w:val="1"/>
      </w:pPr>
      <w:r>
        <w:rPr>
          <w:rFonts w:eastAsia="Times New Roman"/>
          <w:sz w:val="24"/>
          <w:szCs w:val="24"/>
        </w:rPr>
        <w:t xml:space="preserve">6. Какое значение напряжения должно применяться для испытания основных изолирующих электрозащитных средств, предназначенных для электроустановок напряжением выше 1 до 35 кВ включительно?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9"/>
        </w:numPr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</w:t>
      </w:r>
      <w:r>
        <w:rPr>
          <w:rFonts w:eastAsia="Times New Roman"/>
          <w:sz w:val="24"/>
          <w:szCs w:val="24"/>
        </w:rPr>
        <w:t xml:space="preserve">твет 1: Равное 3-кратному линейному, но не ниже 40 кВ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 2: </w:t>
      </w:r>
      <w:r>
        <w:rPr>
          <w:rFonts w:eastAsia="Times New Roman"/>
          <w:sz w:val="24"/>
          <w:szCs w:val="24"/>
        </w:rPr>
        <w:t xml:space="preserve">Равное</w:t>
      </w:r>
      <w:r>
        <w:rPr>
          <w:rFonts w:eastAsia="Times New Roman"/>
          <w:sz w:val="24"/>
          <w:szCs w:val="24"/>
        </w:rPr>
        <w:t xml:space="preserve"> 3-кратному линейному, но не более 40 кВ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 3: Равное 3-кратному фазному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9"/>
        </w:numPr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 4: Равное 2-кратному фазному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10"/>
        </w:numPr>
        <w:ind w:left="0" w:firstLine="360"/>
        <w:rPr>
          <w:rFonts w:eastAsia="Times New Roman"/>
          <w:sz w:val="24"/>
          <w:szCs w:val="24"/>
        </w:rPr>
      </w:pPr>
      <w:r>
        <w:rPr>
          <w:sz w:val="22"/>
          <w:szCs w:val="22"/>
          <w:lang w:eastAsia="en-US"/>
        </w:rPr>
        <w:t xml:space="preserve">В </w:t>
      </w:r>
      <w:r>
        <w:rPr>
          <w:sz w:val="22"/>
          <w:szCs w:val="22"/>
          <w:lang w:eastAsia="en-US"/>
        </w:rPr>
        <w:t xml:space="preserve">течение</w:t>
      </w:r>
      <w:r>
        <w:rPr>
          <w:sz w:val="22"/>
          <w:szCs w:val="22"/>
          <w:lang w:eastAsia="en-US"/>
        </w:rPr>
        <w:t xml:space="preserve"> какого времени основное оборудование электроустановок, прошедшее капитальный ремонт</w:t>
      </w:r>
      <w:r>
        <w:rPr>
          <w:rFonts w:eastAsia="Times New Roman"/>
          <w:sz w:val="24"/>
          <w:szCs w:val="24"/>
        </w:rPr>
        <w:t xml:space="preserve">, подлежит испытаниям под нагрузкой?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•</w:t>
      </w:r>
      <w:r>
        <w:rPr>
          <w:rFonts w:eastAsia="Times New Roman"/>
          <w:sz w:val="24"/>
          <w:szCs w:val="24"/>
        </w:rPr>
        <w:tab/>
        <w:t xml:space="preserve">Не менее 6 часов.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•</w:t>
      </w:r>
      <w:r>
        <w:rPr>
          <w:rFonts w:eastAsia="Times New Roman"/>
          <w:sz w:val="24"/>
          <w:szCs w:val="24"/>
        </w:rPr>
        <w:tab/>
        <w:t xml:space="preserve">Не менее 12 часов.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•</w:t>
      </w:r>
      <w:r>
        <w:rPr>
          <w:rFonts w:eastAsia="Times New Roman"/>
          <w:sz w:val="24"/>
          <w:szCs w:val="24"/>
        </w:rPr>
        <w:tab/>
        <w:t xml:space="preserve">Не менее 18 часов.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•</w:t>
      </w:r>
      <w:r>
        <w:rPr>
          <w:rFonts w:eastAsia="Times New Roman"/>
          <w:sz w:val="24"/>
          <w:szCs w:val="24"/>
        </w:rPr>
        <w:tab/>
        <w:t xml:space="preserve">Не менее 24 часов, если не имеется других указаний заводов-изготовителей.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</w:t>
      </w:r>
      <w:r>
        <w:rPr>
          <w:rFonts w:eastAsia="Times New Roman"/>
          <w:sz w:val="24"/>
          <w:szCs w:val="24"/>
        </w:rPr>
        <w:t xml:space="preserve">   К</w:t>
      </w:r>
      <w:r>
        <w:rPr>
          <w:rFonts w:eastAsia="Times New Roman"/>
          <w:sz w:val="24"/>
          <w:szCs w:val="24"/>
        </w:rPr>
        <w:t xml:space="preserve">огда возникает необходимость проведения технического освидетельствования электрооборудования?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11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Техническое освидетельствование проводится по истечении установленного нормативно-технической документацией срока службы электрооборудования.</w:t>
      </w:r>
      <w:r>
        <w:rPr>
          <w:sz w:val="22"/>
          <w:szCs w:val="22"/>
          <w:lang w:eastAsia="en-US"/>
        </w:rPr>
      </w:r>
    </w:p>
    <w:p>
      <w:pPr>
        <w:numPr>
          <w:ilvl w:val="0"/>
          <w:numId w:val="11"/>
        </w:numPr>
        <w:jc w:val="both"/>
        <w:spacing w:before="100" w:beforeAutospacing="1" w:after="100" w:afterAutospacing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Техническое освидетельствование необходимо проводить не реже чем раз в 3 года.</w:t>
      </w:r>
      <w:r>
        <w:rPr>
          <w:sz w:val="22"/>
          <w:szCs w:val="22"/>
          <w:lang w:eastAsia="en-US"/>
        </w:rPr>
      </w:r>
    </w:p>
    <w:p>
      <w:pPr>
        <w:numPr>
          <w:ilvl w:val="0"/>
          <w:numId w:val="11"/>
        </w:numPr>
        <w:jc w:val="both"/>
        <w:spacing w:before="100" w:beforeAutospacing="1" w:after="100" w:afterAutospacing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Необходимость в техническом освидетельствовании электрооборудования определяется в </w:t>
      </w:r>
      <w:r>
        <w:rPr>
          <w:sz w:val="22"/>
          <w:szCs w:val="22"/>
          <w:lang w:eastAsia="en-US"/>
        </w:rPr>
        <w:t xml:space="preserve">р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езультате</w:t>
      </w:r>
      <w:r>
        <w:rPr>
          <w:sz w:val="22"/>
          <w:szCs w:val="22"/>
          <w:lang w:eastAsia="en-US"/>
        </w:rPr>
        <w:t xml:space="preserve"> осмотра электрооборудования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2"/>
          <w:szCs w:val="22"/>
          <w:lang w:eastAsia="en-US"/>
        </w:rPr>
      </w:r>
    </w:p>
    <w:p>
      <w:pPr>
        <w:ind w:left="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 Можно ли включать автоматически отключившуюся электроустановку, которая находится во взрывоопасной зоне, без выяснения причин ее отключения?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12"/>
        </w:numPr>
        <w:ind w:left="142" w:firstLine="284"/>
        <w:jc w:val="both"/>
        <w:spacing w:before="100" w:beforeAutospacing="1" w:after="100" w:afterAutospacing="1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Можно, если отключение произошло на очень короткий момент времени.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12"/>
        </w:numPr>
        <w:ind w:left="142" w:firstLine="284"/>
        <w:jc w:val="both"/>
        <w:spacing w:before="100" w:beforeAutospacing="1" w:after="100" w:afterAutospacing="1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Можно, если при подключении рядом находится </w:t>
      </w:r>
      <w:r>
        <w:rPr>
          <w:rFonts w:eastAsia="Times New Roman"/>
          <w:sz w:val="24"/>
          <w:szCs w:val="24"/>
        </w:rPr>
        <w:t xml:space="preserve">старший</w:t>
      </w:r>
      <w:r>
        <w:rPr>
          <w:rFonts w:eastAsia="Times New Roman"/>
          <w:sz w:val="24"/>
          <w:szCs w:val="24"/>
        </w:rPr>
        <w:t xml:space="preserve"> из персонала.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12"/>
        </w:numPr>
        <w:ind w:left="142" w:firstLine="284"/>
        <w:jc w:val="both"/>
        <w:spacing w:before="100" w:beforeAutospacing="1" w:after="100" w:afterAutospacing="1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Без выяснения и устранения причин ее отключения повторное включение не разрешается.</w:t>
      </w:r>
      <w:r>
        <w:rPr>
          <w:rFonts w:eastAsia="Times New Roman"/>
          <w:sz w:val="24"/>
          <w:szCs w:val="24"/>
        </w:rPr>
      </w:r>
    </w:p>
    <w:p>
      <w:pPr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Какое электрооборудование допускается к эксплуатации во взрывоопасных зонах?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Любые исправные электроустановки.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Электрооборудование во взрывозащищенном исполнении.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Электрооборудование во </w:t>
      </w:r>
      <w:r>
        <w:rPr>
          <w:sz w:val="22"/>
          <w:szCs w:val="22"/>
          <w:lang w:eastAsia="en-US"/>
        </w:rPr>
        <w:t xml:space="preserve">взрывопожаробезопасном</w:t>
      </w:r>
      <w:r>
        <w:rPr>
          <w:sz w:val="22"/>
          <w:szCs w:val="22"/>
          <w:lang w:eastAsia="en-US"/>
        </w:rPr>
        <w:t xml:space="preserve"> исполнении.</w:t>
      </w:r>
      <w:r>
        <w:rPr>
          <w:sz w:val="22"/>
          <w:szCs w:val="22"/>
          <w:lang w:eastAsia="en-US"/>
        </w:rPr>
      </w:r>
    </w:p>
    <w:p>
      <w:pPr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Что составляет комплекс технических средств автоматизированной системы управления электроснабжением?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Только средства передачи информации.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Только средства обработки и отображения информации.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Только средства сбора информации и вспомогательные системы.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Все перечисленное.</w:t>
      </w:r>
      <w:r>
        <w:rPr>
          <w:sz w:val="22"/>
          <w:szCs w:val="22"/>
          <w:lang w:eastAsia="en-US"/>
        </w:rPr>
      </w:r>
    </w:p>
    <w:p>
      <w:pPr>
        <w:ind w:left="720"/>
      </w:pPr>
      <w:r/>
      <w:r/>
    </w:p>
    <w:p>
      <w:pPr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Что из перечисленного не входит в обязанности ответственного за электрохозяйство?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Контроль наличия, своевременности проверок и испытаний средств защиты в электроустановках, средств пожаротушения и инструмента.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Организация проведения расчетов потребности Потребителя в электрической энергии и осуществление </w:t>
      </w:r>
      <w:r>
        <w:rPr>
          <w:sz w:val="22"/>
          <w:szCs w:val="22"/>
          <w:lang w:eastAsia="en-US"/>
        </w:rPr>
        <w:t xml:space="preserve">контроля за</w:t>
      </w:r>
      <w:r>
        <w:rPr>
          <w:sz w:val="22"/>
          <w:szCs w:val="22"/>
          <w:lang w:eastAsia="en-US"/>
        </w:rPr>
        <w:t xml:space="preserve"> ее расходованием.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Непосредственное обслуживание электроустановок.</w:t>
      </w:r>
      <w:r>
        <w:rPr>
          <w:sz w:val="22"/>
          <w:szCs w:val="22"/>
          <w:lang w:eastAsia="en-US"/>
        </w:rPr>
      </w:r>
    </w:p>
    <w:p>
      <w:pPr>
        <w:ind w:left="72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Организация разработки и ведения необходимой документации по вопросам организации эксплуатации электроустановок.</w:t>
      </w:r>
      <w:r>
        <w:rPr>
          <w:sz w:val="22"/>
          <w:szCs w:val="22"/>
          <w:lang w:eastAsia="en-US"/>
        </w:rPr>
      </w:r>
    </w:p>
    <w:p>
      <w:pPr>
        <w:numPr>
          <w:ilvl w:val="0"/>
          <w:numId w:val="13"/>
        </w:numPr>
        <w:rPr>
          <w:sz w:val="22"/>
          <w:szCs w:val="22"/>
          <w:lang w:eastAsia="en-US"/>
        </w:rPr>
      </w:pPr>
      <w:r>
        <w:rPr>
          <w:b/>
        </w:rPr>
        <w:t xml:space="preserve">У </w:t>
      </w:r>
      <w:r>
        <w:rPr>
          <w:sz w:val="22"/>
          <w:szCs w:val="22"/>
          <w:lang w:eastAsia="en-US"/>
        </w:rPr>
        <w:t xml:space="preserve">каких потребителей можно не назначать </w:t>
      </w:r>
      <w:r>
        <w:rPr>
          <w:sz w:val="22"/>
          <w:szCs w:val="22"/>
          <w:lang w:eastAsia="en-US"/>
        </w:rPr>
        <w:t xml:space="preserve">ответственного</w:t>
      </w:r>
      <w:r>
        <w:rPr>
          <w:sz w:val="22"/>
          <w:szCs w:val="22"/>
          <w:lang w:eastAsia="en-US"/>
        </w:rPr>
        <w:t xml:space="preserve"> за электрохозяйство?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У потребителей, не занимающихся производственной деятельностью, электрохозяйство которых включает в себя только вводное (вводно-распределительное) устройство, осветительные установки, переносное электрооборудование номинальным напряжением не выше 380 В.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У потребителей, занимающихся производственной деятельностью, электрохозяйство которых включает в себя только вводное (вводно-распределительное) устройство, осветительные установки, переносное электрооборудование номинальным напряжением не выше 660 В.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У потребителей, установленная мощность электроустановок которых не превышает 10 </w:t>
      </w:r>
      <w:r>
        <w:rPr>
          <w:sz w:val="22"/>
          <w:szCs w:val="22"/>
          <w:lang w:eastAsia="en-US"/>
        </w:rPr>
        <w:t xml:space="preserve">кВ×А</w:t>
      </w:r>
      <w:r>
        <w:rPr>
          <w:sz w:val="22"/>
          <w:szCs w:val="22"/>
          <w:lang w:eastAsia="en-US"/>
        </w:rPr>
        <w:t xml:space="preserve">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numPr>
          <w:ilvl w:val="0"/>
          <w:numId w:val="13"/>
        </w:num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Какие помещения называются сырыми?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Помещения, в которых относительная влажность воздуха не превышает 50 %.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Помещения, в которых относительная влажность воздуха превышает 75 %.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Помещения, в которых относительная влажность воздуха не превышает 90 %.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Помещения, в которых относительная влажность воздуха близка к 100 %.</w:t>
      </w:r>
      <w:r>
        <w:rPr>
          <w:sz w:val="22"/>
          <w:szCs w:val="22"/>
          <w:lang w:eastAsia="en-US"/>
        </w:rPr>
      </w:r>
    </w:p>
    <w:p>
      <w:pPr>
        <w:numPr>
          <w:ilvl w:val="0"/>
          <w:numId w:val="13"/>
        </w:num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Какое напряжение должно применяться для питания переносных (ручных) светильников, применяемых в помещениях с повышенной опасностью?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Не выше 36 В.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Не выше 50 В.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Не выше 127 В.</w:t>
      </w:r>
      <w:r>
        <w:rPr>
          <w:sz w:val="22"/>
          <w:szCs w:val="22"/>
          <w:lang w:eastAsia="en-US"/>
        </w:rPr>
      </w:r>
    </w:p>
    <w:p>
      <w:pPr>
        <w:ind w:left="7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•</w:t>
      </w:r>
      <w:r>
        <w:rPr>
          <w:sz w:val="22"/>
          <w:szCs w:val="22"/>
          <w:lang w:eastAsia="en-US"/>
        </w:rPr>
        <w:tab/>
        <w:t xml:space="preserve">Не выше 220 В.</w:t>
      </w:r>
      <w:r>
        <w:rPr>
          <w:sz w:val="22"/>
          <w:szCs w:val="22"/>
          <w:lang w:eastAsia="en-US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9"/>
      <w:numFmt w:val="decimal"/>
      <w:isLgl w:val="false"/>
      <w:suff w:val="tab"/>
      <w:lvlText w:val="%2"/>
      <w:lvlJc w:val="left"/>
      <w:pPr>
        <w:ind w:left="1440" w:hanging="360"/>
      </w:pPr>
      <w:rPr>
        <w:rFonts w:eastAsia="Calibri"/>
        <w:sz w:val="22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1">
      <w:startOverride w:val="9"/>
    </w:lvlOverride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4"/>
    <w:next w:val="64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4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4"/>
    <w:next w:val="64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4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4"/>
    <w:next w:val="64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4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4"/>
    <w:next w:val="64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4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4"/>
    <w:next w:val="64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4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4"/>
    <w:next w:val="64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4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4"/>
    <w:next w:val="64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4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4"/>
    <w:next w:val="64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4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4"/>
    <w:next w:val="64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4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4"/>
    <w:next w:val="64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45"/>
    <w:link w:val="35"/>
    <w:uiPriority w:val="10"/>
    <w:rPr>
      <w:sz w:val="48"/>
      <w:szCs w:val="48"/>
    </w:rPr>
  </w:style>
  <w:style w:type="paragraph" w:styleId="37">
    <w:name w:val="Subtitle"/>
    <w:basedOn w:val="644"/>
    <w:next w:val="64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45"/>
    <w:link w:val="37"/>
    <w:uiPriority w:val="11"/>
    <w:rPr>
      <w:sz w:val="24"/>
      <w:szCs w:val="24"/>
    </w:rPr>
  </w:style>
  <w:style w:type="paragraph" w:styleId="39">
    <w:name w:val="Quote"/>
    <w:basedOn w:val="644"/>
    <w:next w:val="64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4"/>
    <w:next w:val="64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45"/>
    <w:link w:val="43"/>
    <w:uiPriority w:val="99"/>
  </w:style>
  <w:style w:type="paragraph" w:styleId="45">
    <w:name w:val="Footer"/>
    <w:basedOn w:val="64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45"/>
    <w:link w:val="45"/>
    <w:uiPriority w:val="99"/>
  </w:style>
  <w:style w:type="paragraph" w:styleId="47">
    <w:name w:val="Caption"/>
    <w:basedOn w:val="644"/>
    <w:next w:val="64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4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45"/>
    <w:uiPriority w:val="99"/>
    <w:unhideWhenUsed/>
    <w:rPr>
      <w:vertAlign w:val="superscript"/>
    </w:rPr>
  </w:style>
  <w:style w:type="paragraph" w:styleId="179">
    <w:name w:val="endnote text"/>
    <w:basedOn w:val="64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45"/>
    <w:uiPriority w:val="99"/>
    <w:semiHidden/>
    <w:unhideWhenUsed/>
    <w:rPr>
      <w:vertAlign w:val="superscript"/>
    </w:rPr>
  </w:style>
  <w:style w:type="paragraph" w:styleId="182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uiPriority w:val="99"/>
    <w:qFormat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645" w:default="1">
    <w:name w:val="Default Paragraph Font"/>
    <w:uiPriority w:val="1"/>
    <w:semiHidden/>
    <w:unhideWhenUsed/>
  </w:style>
  <w:style w:type="table" w:styleId="64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7" w:default="1">
    <w:name w:val="No List"/>
    <w:uiPriority w:val="99"/>
    <w:semiHidden/>
    <w:unhideWhenUsed/>
  </w:style>
  <w:style w:type="paragraph" w:styleId="648" w:customStyle="1">
    <w:name w:val="Для таблиц"/>
    <w:basedOn w:val="644"/>
    <w:uiPriority w:val="99"/>
    <w:rPr>
      <w:rFonts w:eastAsia="Times New Roman"/>
      <w:sz w:val="24"/>
      <w:szCs w:val="24"/>
    </w:rPr>
  </w:style>
  <w:style w:type="paragraph" w:styleId="649">
    <w:name w:val="List Paragraph"/>
    <w:basedOn w:val="644"/>
    <w:uiPriority w:val="99"/>
    <w:qFormat/>
    <w:pPr>
      <w:ind w:left="720"/>
    </w:pPr>
    <w:rPr>
      <w:rFonts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istu.ru/material/elektronno-bibliotechnaya-sistema-iprbooks" TargetMode="External"/><Relationship Id="rId10" Type="http://schemas.openxmlformats.org/officeDocument/2006/relationships/hyperlink" Target="http://94.181.117.43/cgibin/irbis64r_12/cgiirbis_64.exe?LNG=&amp;C21COM=F&amp;I21DBN=IBIS&amp;P21DBN=IRBIS" TargetMode="External"/><Relationship Id="rId11" Type="http://schemas.openxmlformats.org/officeDocument/2006/relationships/hyperlink" Target="http://xn--90ax2c.xn--p1ai/" TargetMode="External"/><Relationship Id="rId12" Type="http://schemas.openxmlformats.org/officeDocument/2006/relationships/hyperlink" Target="http://www.wdl.org/ru/" TargetMode="External"/><Relationship Id="rId13" Type="http://schemas.openxmlformats.org/officeDocument/2006/relationships/hyperlink" Target="http://webofscience.com/" TargetMode="External"/><Relationship Id="rId14" Type="http://schemas.openxmlformats.org/officeDocument/2006/relationships/hyperlink" Target="https://elibrary.ru/defaultx.as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2025-10-17T03:45:00Z</dcterms:created>
  <dcterms:modified xsi:type="dcterms:W3CDTF">2026-01-14T19:32:23Z</dcterms:modified>
</cp:coreProperties>
</file>