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style2.xml" ContentType="application/vnd.ms-office.chartstyle+xml"/>
  <Override PartName="/word/charts/colors3.xml" ContentType="application/vnd.ms-office.chartcolorstyle+xml"/>
  <Override PartName="/word/charts/chart2.xml" ContentType="application/vnd.openxmlformats-officedocument.drawingml.chart+xml"/>
  <Override PartName="/word/charts/colors2.xml" ContentType="application/vnd.ms-office.chartcolorstyle+xml"/>
  <Override PartName="/word/charts/style1.xml" ContentType="application/vnd.ms-office.chart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3.xml" ContentType="application/vnd.openxmlformats-officedocument.drawingml.chart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3.xml" ContentType="application/vnd.ms-office.chartsty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2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pStyle w:val="712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О ВЛИЯНИИ СВОЕВРЕМЕННО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ПРОВЕДЕННОЙ 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ЭВАКУАЦИИ ЛЮДЕЙ ПРИ ПОЖАРЕ НА ИХ ЗДОРОВЬЕ И ЖИЗНЬ  </w:t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pStyle w:val="712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pStyle w:val="712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t xml:space="preserve">О ВЗАИМОСВЯЗИ ВРЕМЕНИ НА ПРОВЕДЕНИЕ ЭВАКУАЦИИ ЛЮДЕЙ ПРИ ПОЖАРЕ И СОХРАНЕНИЯ ИХ ЗДОРОВЬЯ И ЖИЗНИ  </w:t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Аннотация:</w:t>
      </w:r>
      <w:r>
        <w:rPr>
          <w:rFonts w:ascii="Times New Roman" w:hAnsi="Times New Roman" w:cs="Times New Roman"/>
          <w:iCs/>
          <w:sz w:val="28"/>
          <w:szCs w:val="28"/>
        </w:rPr>
        <w:t xml:space="preserve"> В статье рассмотрен</w:t>
      </w:r>
      <w:r>
        <w:rPr>
          <w:rFonts w:ascii="Times New Roman" w:hAnsi="Times New Roman" w:cs="Times New Roman"/>
          <w:iCs/>
          <w:sz w:val="28"/>
          <w:szCs w:val="28"/>
        </w:rPr>
        <w:t xml:space="preserve">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проблема </w:t>
      </w:r>
      <w:r>
        <w:rPr>
          <w:rFonts w:ascii="Times New Roman" w:hAnsi="Times New Roman" w:cs="Times New Roman"/>
          <w:iCs/>
          <w:sz w:val="28"/>
          <w:szCs w:val="28"/>
        </w:rPr>
        <w:t xml:space="preserve">взаимосвязи времени затраченном на проведении эвакуации людей при возникновении пожара и сохранением их здоровья и жизни, а также</w:t>
      </w:r>
      <w:r>
        <w:rPr>
          <w:rFonts w:ascii="Times New Roman" w:hAnsi="Times New Roman" w:cs="Times New Roman"/>
          <w:iCs/>
          <w:sz w:val="28"/>
          <w:szCs w:val="28"/>
        </w:rPr>
        <w:t xml:space="preserve"> знаний и умений </w:t>
      </w:r>
      <w:r>
        <w:rPr>
          <w:rFonts w:ascii="Times New Roman" w:hAnsi="Times New Roman" w:cs="Times New Roman"/>
          <w:iCs/>
          <w:sz w:val="28"/>
          <w:szCs w:val="28"/>
        </w:rPr>
        <w:t xml:space="preserve">у работников организаций </w:t>
      </w:r>
      <w:r>
        <w:rPr>
          <w:rFonts w:ascii="Times New Roman" w:hAnsi="Times New Roman" w:cs="Times New Roman"/>
          <w:iCs/>
          <w:sz w:val="28"/>
          <w:szCs w:val="28"/>
        </w:rPr>
        <w:t xml:space="preserve">эффективно эвакуироваться при </w:t>
      </w:r>
      <w:r>
        <w:rPr>
          <w:rFonts w:ascii="Times New Roman" w:hAnsi="Times New Roman" w:cs="Times New Roman"/>
          <w:iCs/>
          <w:sz w:val="28"/>
          <w:szCs w:val="28"/>
        </w:rPr>
        <w:t xml:space="preserve">возникновении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пожар</w:t>
      </w:r>
      <w:r>
        <w:rPr>
          <w:rFonts w:ascii="Times New Roman" w:hAnsi="Times New Roman" w:cs="Times New Roman"/>
          <w:iCs/>
          <w:sz w:val="28"/>
          <w:szCs w:val="28"/>
        </w:rPr>
        <w:t xml:space="preserve">оопасных факторов</w:t>
      </w:r>
      <w:r>
        <w:rPr>
          <w:rFonts w:ascii="Times New Roman" w:hAnsi="Times New Roman" w:cs="Times New Roman"/>
          <w:iCs/>
          <w:sz w:val="28"/>
          <w:szCs w:val="28"/>
        </w:rPr>
        <w:t xml:space="preserve"> до наступления предельно допустимых концентраций опасных отравляющих веществ в воздухе. </w:t>
      </w:r>
      <w:r>
        <w:rPr>
          <w:rFonts w:ascii="Times New Roman" w:hAnsi="Times New Roman" w:cs="Times New Roman"/>
          <w:iCs/>
          <w:sz w:val="28"/>
          <w:szCs w:val="28"/>
        </w:rPr>
        <w:t xml:space="preserve">Проведенные расчеты и апробация на практике </w:t>
      </w:r>
      <w:r>
        <w:rPr>
          <w:rFonts w:ascii="Times New Roman" w:hAnsi="Times New Roman" w:cs="Times New Roman"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АО «Самотлорнефтегаз»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показали прямую зависимость </w:t>
      </w:r>
      <w:r>
        <w:rPr>
          <w:rFonts w:ascii="Times New Roman" w:hAnsi="Times New Roman" w:cs="Times New Roman"/>
          <w:sz w:val="28"/>
          <w:szCs w:val="28"/>
        </w:rPr>
        <w:t xml:space="preserve">времени эвакуаци</w:t>
      </w:r>
      <w:r>
        <w:rPr>
          <w:rFonts w:ascii="Times New Roman" w:hAnsi="Times New Roman" w:cs="Times New Roman"/>
          <w:sz w:val="28"/>
          <w:szCs w:val="28"/>
        </w:rPr>
        <w:t xml:space="preserve">и людей при пожаре и вероятност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отравления продуктами горения.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снижения рисков получения отравления людей при пожарах предложены соответствующие пути решения.</w:t>
      </w:r>
      <w:r>
        <w:rPr>
          <w:rFonts w:ascii="Times New Roman" w:hAnsi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Ключевые слова: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пожарная безопасность, эвакуация, время эвакуации, людские потоки, </w:t>
      </w:r>
      <w:r>
        <w:rPr>
          <w:rFonts w:ascii="Times New Roman" w:hAnsi="Times New Roman" w:cs="Times New Roman"/>
          <w:sz w:val="28"/>
          <w:szCs w:val="28"/>
        </w:rPr>
        <w:t xml:space="preserve">токсичные продукты горения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пожар</w:t>
      </w:r>
      <w:r>
        <w:rPr>
          <w:rFonts w:ascii="Times New Roman" w:hAnsi="Times New Roman" w:cs="Times New Roman"/>
          <w:iCs/>
          <w:sz w:val="28"/>
          <w:szCs w:val="28"/>
        </w:rPr>
        <w:t xml:space="preserve">,</w:t>
      </w:r>
      <w:r>
        <w:rPr>
          <w:rFonts w:ascii="Times New Roman" w:hAnsi="Times New Roman" w:cs="Times New Roman"/>
          <w:iCs/>
          <w:sz w:val="28"/>
          <w:szCs w:val="28"/>
        </w:rPr>
        <w:t xml:space="preserve"> средства индивидуальной защиты,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АО «Самотлорнефтегаз»</w:t>
      </w:r>
      <w:r>
        <w:rPr>
          <w:rFonts w:ascii="Times New Roman" w:hAnsi="Times New Roman" w:cs="Times New Roman"/>
          <w:iCs/>
          <w:sz w:val="28"/>
          <w:szCs w:val="28"/>
        </w:rPr>
        <w:t xml:space="preserve">.</w:t>
      </w:r>
      <w:r>
        <w:rPr>
          <w:rFonts w:ascii="Times New Roman" w:hAnsi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</w:r>
      <w:r>
        <w:rPr>
          <w:rFonts w:ascii="Times New Roman" w:hAnsi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shd w:val="clear" w:color="auto" w:fill="ffffff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712"/>
        <w:ind w:firstLine="708"/>
        <w:jc w:val="both"/>
        <w:spacing w:line="360" w:lineRule="auto"/>
        <w:rPr>
          <w:rStyle w:val="723"/>
          <w:rFonts w:ascii="Times New Roman" w:hAnsi="Times New Roman"/>
          <w:sz w:val="28"/>
          <w:szCs w:val="28"/>
        </w:rPr>
      </w:pPr>
      <w:r>
        <w:rPr>
          <w:rStyle w:val="723"/>
          <w:rFonts w:ascii="Times New Roman" w:hAnsi="Times New Roman"/>
          <w:sz w:val="28"/>
          <w:szCs w:val="28"/>
        </w:rPr>
        <w:t xml:space="preserve">Обеспечение пожарной безопасности является одной из </w:t>
      </w:r>
      <w:r>
        <w:rPr>
          <w:rStyle w:val="723"/>
          <w:rFonts w:ascii="Times New Roman" w:hAnsi="Times New Roman"/>
          <w:sz w:val="28"/>
          <w:szCs w:val="28"/>
        </w:rPr>
        <w:t xml:space="preserve">важнейших </w:t>
      </w:r>
      <w:r>
        <w:rPr>
          <w:rStyle w:val="723"/>
          <w:rFonts w:ascii="Times New Roman" w:hAnsi="Times New Roman"/>
          <w:sz w:val="28"/>
          <w:szCs w:val="28"/>
        </w:rPr>
        <w:t xml:space="preserve">составляющей создания безопасных условий труда </w:t>
      </w:r>
      <w:r>
        <w:rPr>
          <w:rStyle w:val="723"/>
          <w:rFonts w:ascii="Times New Roman" w:hAnsi="Times New Roman"/>
          <w:sz w:val="28"/>
          <w:szCs w:val="28"/>
        </w:rPr>
        <w:t xml:space="preserve">как </w:t>
      </w:r>
      <w:r>
        <w:rPr>
          <w:rStyle w:val="723"/>
          <w:rFonts w:ascii="Times New Roman" w:hAnsi="Times New Roman"/>
          <w:sz w:val="28"/>
          <w:szCs w:val="28"/>
        </w:rPr>
        <w:t xml:space="preserve">для работников организаций</w:t>
      </w:r>
      <w:r>
        <w:rPr>
          <w:rStyle w:val="723"/>
          <w:rFonts w:ascii="Times New Roman" w:hAnsi="Times New Roman"/>
          <w:sz w:val="28"/>
          <w:szCs w:val="28"/>
        </w:rPr>
        <w:t xml:space="preserve"> и служащих учреждений, студентов</w:t>
      </w:r>
      <w:r>
        <w:rPr>
          <w:rStyle w:val="723"/>
          <w:rFonts w:ascii="Times New Roman" w:hAnsi="Times New Roman"/>
          <w:sz w:val="28"/>
          <w:szCs w:val="28"/>
        </w:rPr>
        <w:t xml:space="preserve"> и </w:t>
      </w:r>
      <w:r>
        <w:rPr>
          <w:rStyle w:val="723"/>
          <w:rFonts w:ascii="Times New Roman" w:hAnsi="Times New Roman"/>
          <w:sz w:val="28"/>
          <w:szCs w:val="28"/>
        </w:rPr>
        <w:t xml:space="preserve">школьников, так и </w:t>
      </w:r>
      <w:r>
        <w:rPr>
          <w:rStyle w:val="723"/>
          <w:rFonts w:ascii="Times New Roman" w:hAnsi="Times New Roman"/>
          <w:sz w:val="28"/>
          <w:szCs w:val="28"/>
        </w:rPr>
        <w:t xml:space="preserve">граждан в целом</w:t>
      </w:r>
      <w:r>
        <w:rPr>
          <w:rStyle w:val="723"/>
          <w:rFonts w:ascii="Times New Roman" w:hAnsi="Times New Roman"/>
          <w:sz w:val="28"/>
          <w:szCs w:val="28"/>
        </w:rPr>
        <w:t xml:space="preserve">, работающих или посещающих общественные здания с массовым пребыванием людей</w:t>
      </w:r>
      <w:r>
        <w:rPr>
          <w:rStyle w:val="723"/>
          <w:rFonts w:ascii="Times New Roman" w:hAnsi="Times New Roman"/>
          <w:sz w:val="28"/>
          <w:szCs w:val="28"/>
        </w:rPr>
        <w:t xml:space="preserve">.</w:t>
      </w:r>
      <w:r>
        <w:rPr>
          <w:rStyle w:val="723"/>
          <w:rFonts w:ascii="Times New Roman" w:hAnsi="Times New Roman"/>
          <w:sz w:val="28"/>
          <w:szCs w:val="28"/>
        </w:rPr>
        <w:t xml:space="preserve"> </w:t>
      </w:r>
      <w:r>
        <w:rPr>
          <w:rStyle w:val="723"/>
          <w:rFonts w:ascii="Times New Roman" w:hAnsi="Times New Roman"/>
          <w:sz w:val="28"/>
          <w:szCs w:val="28"/>
        </w:rPr>
        <w:t xml:space="preserve">В связи с </w:t>
      </w:r>
      <w:r>
        <w:rPr>
          <w:rStyle w:val="723"/>
          <w:rFonts w:ascii="Times New Roman" w:hAnsi="Times New Roman"/>
          <w:sz w:val="28"/>
          <w:szCs w:val="28"/>
        </w:rPr>
        <w:t xml:space="preserve">возможно большой концентрацией численности указанных категорий людей возрастает риск сохранения их здоровья и жизни при возникновении пожароопасных ситуаций</w:t>
      </w:r>
      <w:r>
        <w:rPr>
          <w:rStyle w:val="723"/>
          <w:rFonts w:ascii="Times New Roman" w:hAnsi="Times New Roman"/>
          <w:sz w:val="28"/>
          <w:szCs w:val="28"/>
        </w:rPr>
        <w:t xml:space="preserve"> вызванных не своевременно проведенной эвакуации людей при пожаре.</w:t>
      </w:r>
      <w:r>
        <w:rPr>
          <w:rStyle w:val="723"/>
          <w:rFonts w:ascii="Times New Roman" w:hAnsi="Times New Roman"/>
          <w:sz w:val="28"/>
          <w:szCs w:val="28"/>
        </w:rPr>
      </w:r>
    </w:p>
    <w:p>
      <w:pPr>
        <w:pStyle w:val="712"/>
        <w:ind w:firstLine="708"/>
        <w:jc w:val="both"/>
        <w:spacing w:line="360" w:lineRule="auto"/>
        <w:rPr>
          <w:rStyle w:val="723"/>
          <w:rFonts w:ascii="Times New Roman" w:hAnsi="Times New Roman"/>
          <w:sz w:val="28"/>
          <w:szCs w:val="28"/>
        </w:rPr>
      </w:pPr>
      <w:r>
        <w:rPr>
          <w:rStyle w:val="723"/>
          <w:rFonts w:ascii="Times New Roman" w:hAnsi="Times New Roman"/>
          <w:sz w:val="28"/>
          <w:szCs w:val="28"/>
        </w:rPr>
        <w:t xml:space="preserve"> </w:t>
      </w:r>
      <w:r>
        <w:rPr>
          <w:rStyle w:val="723"/>
          <w:rFonts w:ascii="Times New Roman" w:hAnsi="Times New Roman"/>
          <w:sz w:val="28"/>
          <w:szCs w:val="28"/>
        </w:rPr>
        <w:t xml:space="preserve">В нашей статье мы рассмотрим данную проблему </w:t>
      </w:r>
      <w:r>
        <w:rPr>
          <w:rStyle w:val="723"/>
          <w:rFonts w:ascii="Times New Roman" w:hAnsi="Times New Roman"/>
          <w:sz w:val="28"/>
          <w:szCs w:val="28"/>
        </w:rPr>
        <w:t xml:space="preserve">опираясь официальные источники одного из достаточно благополучных регионов в пожароопасном отношении - </w:t>
      </w:r>
      <w:r>
        <w:rPr>
          <w:rStyle w:val="723"/>
          <w:rFonts w:ascii="Times New Roman" w:hAnsi="Times New Roman"/>
          <w:sz w:val="28"/>
          <w:szCs w:val="28"/>
        </w:rPr>
        <w:t xml:space="preserve">территории Ханты-Мансийского автономного округа-Югры. </w:t>
      </w:r>
      <w:r>
        <w:rPr>
          <w:rStyle w:val="723"/>
          <w:rFonts w:ascii="Times New Roman" w:hAnsi="Times New Roman"/>
          <w:sz w:val="28"/>
          <w:szCs w:val="28"/>
        </w:rPr>
      </w:r>
    </w:p>
    <w:p>
      <w:pPr>
        <w:pStyle w:val="712"/>
        <w:ind w:firstLine="708"/>
        <w:jc w:val="both"/>
        <w:spacing w:line="360" w:lineRule="auto"/>
        <w:rPr>
          <w:rStyle w:val="723"/>
          <w:rFonts w:ascii="Times New Roman" w:hAnsi="Times New Roman"/>
          <w:b/>
          <w:bCs/>
          <w:sz w:val="28"/>
          <w:szCs w:val="28"/>
        </w:rPr>
      </w:pPr>
      <w:r>
        <w:rPr>
          <w:rStyle w:val="723"/>
          <w:rFonts w:ascii="Times New Roman" w:hAnsi="Times New Roman"/>
          <w:sz w:val="28"/>
          <w:szCs w:val="28"/>
        </w:rPr>
        <w:t xml:space="preserve">П</w:t>
      </w:r>
      <w:r>
        <w:rPr>
          <w:rStyle w:val="723"/>
          <w:rFonts w:ascii="Times New Roman" w:hAnsi="Times New Roman"/>
          <w:sz w:val="28"/>
          <w:szCs w:val="28"/>
        </w:rPr>
        <w:t xml:space="preserve">о данным </w:t>
      </w:r>
      <w:r>
        <w:rPr>
          <w:rStyle w:val="723"/>
          <w:rFonts w:ascii="Times New Roman" w:hAnsi="Times New Roman"/>
          <w:sz w:val="28"/>
          <w:szCs w:val="28"/>
        </w:rPr>
        <w:t xml:space="preserve">Главного управления </w:t>
      </w:r>
      <w:r>
        <w:rPr>
          <w:rStyle w:val="723"/>
          <w:rFonts w:ascii="Times New Roman" w:hAnsi="Times New Roman"/>
          <w:sz w:val="28"/>
          <w:szCs w:val="28"/>
        </w:rPr>
        <w:t xml:space="preserve">МЧС России</w:t>
      </w:r>
      <w:r>
        <w:rPr>
          <w:rStyle w:val="723"/>
          <w:rFonts w:ascii="Times New Roman" w:hAnsi="Times New Roman"/>
          <w:sz w:val="28"/>
          <w:szCs w:val="28"/>
        </w:rPr>
        <w:t xml:space="preserve"> по Ханты-Мансийскому автономному округу-Югре</w:t>
      </w:r>
      <w:r>
        <w:rPr>
          <w:rStyle w:val="723"/>
          <w:rFonts w:ascii="Times New Roman" w:hAnsi="Times New Roman"/>
          <w:sz w:val="28"/>
          <w:szCs w:val="28"/>
        </w:rPr>
        <w:t xml:space="preserve"> на </w:t>
      </w:r>
      <w:r>
        <w:rPr>
          <w:rStyle w:val="723"/>
          <w:rFonts w:ascii="Times New Roman" w:hAnsi="Times New Roman"/>
          <w:sz w:val="28"/>
          <w:szCs w:val="28"/>
        </w:rPr>
        <w:t xml:space="preserve">его </w:t>
      </w:r>
      <w:r>
        <w:rPr>
          <w:rStyle w:val="723"/>
          <w:rFonts w:ascii="Times New Roman" w:hAnsi="Times New Roman"/>
          <w:sz w:val="28"/>
          <w:szCs w:val="28"/>
        </w:rPr>
        <w:t xml:space="preserve">территории страны </w:t>
      </w:r>
      <w:r>
        <w:rPr>
          <w:rStyle w:val="723"/>
          <w:rFonts w:ascii="Times New Roman" w:hAnsi="Times New Roman"/>
          <w:sz w:val="28"/>
          <w:szCs w:val="28"/>
        </w:rPr>
        <w:t xml:space="preserve">за последние 5 лет в среднем </w:t>
      </w:r>
      <w:r>
        <w:rPr>
          <w:rStyle w:val="723"/>
          <w:rFonts w:ascii="Times New Roman" w:hAnsi="Times New Roman"/>
          <w:sz w:val="28"/>
          <w:szCs w:val="28"/>
        </w:rPr>
        <w:t xml:space="preserve">ежегодно происходит около </w:t>
      </w:r>
      <w:r>
        <w:rPr>
          <w:rStyle w:val="723"/>
          <w:rFonts w:ascii="Times New Roman" w:hAnsi="Times New Roman"/>
          <w:sz w:val="28"/>
          <w:szCs w:val="28"/>
        </w:rPr>
        <w:t xml:space="preserve">2244</w:t>
      </w:r>
      <w:r>
        <w:rPr>
          <w:rStyle w:val="723"/>
          <w:rFonts w:ascii="Times New Roman" w:hAnsi="Times New Roman"/>
          <w:sz w:val="28"/>
          <w:szCs w:val="28"/>
        </w:rPr>
        <w:t xml:space="preserve"> пожар</w:t>
      </w:r>
      <w:r>
        <w:rPr>
          <w:rStyle w:val="723"/>
          <w:rFonts w:ascii="Times New Roman" w:hAnsi="Times New Roman"/>
          <w:sz w:val="28"/>
          <w:szCs w:val="28"/>
        </w:rPr>
        <w:t xml:space="preserve">а</w:t>
      </w:r>
      <w:r>
        <w:rPr>
          <w:rStyle w:val="723"/>
          <w:rFonts w:ascii="Times New Roman" w:hAnsi="Times New Roman"/>
          <w:sz w:val="28"/>
          <w:szCs w:val="28"/>
        </w:rPr>
        <w:t xml:space="preserve">, </w:t>
      </w:r>
      <w:r>
        <w:rPr>
          <w:rStyle w:val="723"/>
          <w:rFonts w:ascii="Times New Roman" w:hAnsi="Times New Roman"/>
          <w:sz w:val="28"/>
          <w:szCs w:val="28"/>
        </w:rPr>
        <w:t xml:space="preserve">из них более 60 % происходят в жилье или на объектах </w:t>
      </w:r>
      <w:r>
        <w:rPr>
          <w:rStyle w:val="723"/>
          <w:rFonts w:ascii="Times New Roman" w:hAnsi="Times New Roman"/>
          <w:sz w:val="28"/>
          <w:szCs w:val="28"/>
        </w:rPr>
        <w:t xml:space="preserve">с</w:t>
      </w:r>
      <w:r>
        <w:rPr>
          <w:rStyle w:val="723"/>
          <w:rFonts w:ascii="Times New Roman" w:hAnsi="Times New Roman"/>
          <w:sz w:val="28"/>
          <w:szCs w:val="28"/>
        </w:rPr>
        <w:t xml:space="preserve"> массовым пребыванием людей. В</w:t>
      </w:r>
      <w:r>
        <w:rPr>
          <w:rStyle w:val="723"/>
          <w:rFonts w:ascii="Times New Roman" w:hAnsi="Times New Roman"/>
          <w:sz w:val="28"/>
          <w:szCs w:val="28"/>
        </w:rPr>
        <w:t xml:space="preserve"> эту статистику не входят лесные пожары. </w:t>
      </w:r>
      <w:r>
        <w:rPr>
          <w:rStyle w:val="723"/>
          <w:rFonts w:ascii="Times New Roman" w:hAnsi="Times New Roman"/>
          <w:sz w:val="28"/>
          <w:szCs w:val="28"/>
        </w:rPr>
        <w:t xml:space="preserve">Средняя с</w:t>
      </w:r>
      <w:r>
        <w:rPr>
          <w:rStyle w:val="723"/>
          <w:rFonts w:ascii="Times New Roman" w:hAnsi="Times New Roman"/>
          <w:sz w:val="28"/>
          <w:szCs w:val="28"/>
        </w:rPr>
        <w:t xml:space="preserve">мертность </w:t>
      </w:r>
      <w:r>
        <w:rPr>
          <w:rStyle w:val="723"/>
          <w:rFonts w:ascii="Times New Roman" w:hAnsi="Times New Roman"/>
          <w:sz w:val="28"/>
          <w:szCs w:val="28"/>
        </w:rPr>
        <w:t xml:space="preserve">в год </w:t>
      </w:r>
      <w:r>
        <w:rPr>
          <w:rStyle w:val="723"/>
          <w:rFonts w:ascii="Times New Roman" w:hAnsi="Times New Roman"/>
          <w:sz w:val="28"/>
          <w:szCs w:val="28"/>
        </w:rPr>
        <w:t xml:space="preserve">от огня и дыма </w:t>
      </w:r>
      <w:r>
        <w:rPr>
          <w:rStyle w:val="723"/>
          <w:rFonts w:ascii="Times New Roman" w:hAnsi="Times New Roman"/>
          <w:sz w:val="28"/>
          <w:szCs w:val="28"/>
        </w:rPr>
        <w:t xml:space="preserve">составляет</w:t>
      </w:r>
      <w:r>
        <w:rPr>
          <w:rStyle w:val="723"/>
          <w:rFonts w:ascii="Times New Roman" w:hAnsi="Times New Roman"/>
          <w:sz w:val="28"/>
          <w:szCs w:val="28"/>
        </w:rPr>
        <w:t xml:space="preserve"> </w:t>
      </w:r>
      <w:r>
        <w:rPr>
          <w:rStyle w:val="723"/>
          <w:rFonts w:ascii="Times New Roman" w:hAnsi="Times New Roman"/>
          <w:sz w:val="28"/>
          <w:szCs w:val="28"/>
        </w:rPr>
        <w:t xml:space="preserve">41,2 </w:t>
      </w:r>
      <w:r>
        <w:rPr>
          <w:rStyle w:val="723"/>
          <w:rFonts w:ascii="Times New Roman" w:hAnsi="Times New Roman"/>
          <w:sz w:val="28"/>
          <w:szCs w:val="28"/>
        </w:rPr>
        <w:t xml:space="preserve">человек</w:t>
      </w:r>
      <w:r>
        <w:rPr>
          <w:rStyle w:val="723"/>
          <w:rFonts w:ascii="Times New Roman" w:hAnsi="Times New Roman"/>
          <w:sz w:val="28"/>
          <w:szCs w:val="28"/>
        </w:rPr>
        <w:t xml:space="preserve">а</w:t>
      </w:r>
      <w:r>
        <w:rPr>
          <w:rStyle w:val="723"/>
          <w:rFonts w:ascii="Times New Roman" w:hAnsi="Times New Roman"/>
          <w:sz w:val="28"/>
          <w:szCs w:val="28"/>
        </w:rPr>
        <w:t xml:space="preserve">,</w:t>
      </w:r>
      <w:r>
        <w:rPr>
          <w:rStyle w:val="723"/>
          <w:rFonts w:ascii="Times New Roman" w:hAnsi="Times New Roman"/>
          <w:sz w:val="28"/>
          <w:szCs w:val="28"/>
        </w:rPr>
        <w:t xml:space="preserve"> из них </w:t>
      </w:r>
      <w:r>
        <w:rPr>
          <w:rStyle w:val="723"/>
          <w:rFonts w:ascii="Times New Roman" w:hAnsi="Times New Roman"/>
          <w:sz w:val="28"/>
          <w:szCs w:val="28"/>
        </w:rPr>
        <w:t xml:space="preserve">4</w:t>
      </w:r>
      <w:r>
        <w:rPr>
          <w:rStyle w:val="723"/>
          <w:rFonts w:ascii="Times New Roman" w:hAnsi="Times New Roman"/>
          <w:sz w:val="28"/>
          <w:szCs w:val="28"/>
        </w:rPr>
        <w:t xml:space="preserve"> детей, а также до </w:t>
      </w:r>
      <w:r>
        <w:rPr>
          <w:rStyle w:val="723"/>
          <w:rFonts w:ascii="Times New Roman" w:hAnsi="Times New Roman"/>
          <w:sz w:val="28"/>
          <w:szCs w:val="28"/>
        </w:rPr>
        <w:t xml:space="preserve">92,6</w:t>
      </w:r>
      <w:r>
        <w:rPr>
          <w:rStyle w:val="723"/>
          <w:rFonts w:ascii="Times New Roman" w:hAnsi="Times New Roman"/>
          <w:sz w:val="28"/>
          <w:szCs w:val="28"/>
        </w:rPr>
        <w:t xml:space="preserve"> случаев </w:t>
      </w:r>
      <w:r>
        <w:rPr>
          <w:rStyle w:val="723"/>
          <w:rFonts w:ascii="Times New Roman" w:hAnsi="Times New Roman"/>
          <w:sz w:val="28"/>
          <w:szCs w:val="28"/>
        </w:rPr>
        <w:t xml:space="preserve">травматизма</w:t>
      </w:r>
      <w:r>
        <w:rPr>
          <w:rStyle w:val="723"/>
          <w:rFonts w:ascii="Times New Roman" w:hAnsi="Times New Roman"/>
          <w:sz w:val="28"/>
          <w:szCs w:val="28"/>
        </w:rPr>
        <w:t xml:space="preserve">, из них </w:t>
      </w:r>
      <w:r>
        <w:rPr>
          <w:rStyle w:val="723"/>
          <w:rFonts w:ascii="Times New Roman" w:hAnsi="Times New Roman"/>
          <w:sz w:val="28"/>
          <w:szCs w:val="28"/>
        </w:rPr>
        <w:t xml:space="preserve">6,8 это </w:t>
      </w:r>
      <w:r>
        <w:rPr>
          <w:rStyle w:val="723"/>
          <w:rFonts w:ascii="Times New Roman" w:hAnsi="Times New Roman"/>
          <w:sz w:val="28"/>
          <w:szCs w:val="28"/>
        </w:rPr>
        <w:t xml:space="preserve">дет</w:t>
      </w:r>
      <w:r>
        <w:rPr>
          <w:rStyle w:val="723"/>
          <w:rFonts w:ascii="Times New Roman" w:hAnsi="Times New Roman"/>
          <w:sz w:val="28"/>
          <w:szCs w:val="28"/>
        </w:rPr>
        <w:t xml:space="preserve">и</w:t>
      </w:r>
      <w:r>
        <w:rPr>
          <w:rStyle w:val="723"/>
          <w:rFonts w:ascii="Times New Roman" w:hAnsi="Times New Roman"/>
          <w:sz w:val="28"/>
          <w:szCs w:val="28"/>
        </w:rPr>
        <w:t xml:space="preserve">. </w:t>
      </w:r>
      <w:r>
        <w:rPr>
          <w:rStyle w:val="723"/>
          <w:rFonts w:ascii="Times New Roman" w:hAnsi="Times New Roman"/>
          <w:sz w:val="28"/>
          <w:szCs w:val="28"/>
        </w:rPr>
        <w:t xml:space="preserve">[1-4]</w:t>
      </w:r>
      <w:r>
        <w:rPr>
          <w:rStyle w:val="723"/>
          <w:rFonts w:ascii="Times New Roman" w:hAnsi="Times New Roman"/>
          <w:b/>
          <w:bCs/>
          <w:sz w:val="28"/>
          <w:szCs w:val="28"/>
        </w:rPr>
      </w:r>
    </w:p>
    <w:p>
      <w:pPr>
        <w:pStyle w:val="712"/>
        <w:ind w:firstLine="708"/>
        <w:jc w:val="both"/>
        <w:spacing w:line="360" w:lineRule="auto"/>
        <w:rPr>
          <w:rStyle w:val="723"/>
          <w:rFonts w:ascii="Times New Roman" w:hAnsi="Times New Roman"/>
          <w:sz w:val="28"/>
          <w:szCs w:val="28"/>
        </w:rPr>
      </w:pPr>
      <w:r>
        <w:rPr>
          <w:rStyle w:val="723"/>
          <w:rFonts w:ascii="Times New Roman" w:hAnsi="Times New Roman"/>
          <w:sz w:val="28"/>
          <w:szCs w:val="28"/>
        </w:rPr>
        <w:t xml:space="preserve">При этом, следует учитывать следующий фактор, при содействии сотрудников п</w:t>
      </w:r>
      <w:r>
        <w:rPr>
          <w:rFonts w:ascii="Times New Roman" w:hAnsi="Times New Roman"/>
          <w:sz w:val="28"/>
          <w:szCs w:val="28"/>
        </w:rPr>
        <w:t xml:space="preserve">одразделений государственной противопожарной службы в рассматриваемый период были эвакуированы из опасных зон пожара 4 189 людей, которые своевременно не эвакуировались сами в начальной стадии пожара и могли быть потенциальными жертвами статистики</w:t>
      </w:r>
      <w:r>
        <w:rPr>
          <w:rFonts w:ascii="Times New Roman" w:hAnsi="Times New Roman"/>
          <w:sz w:val="28"/>
          <w:szCs w:val="28"/>
        </w:rPr>
        <w:t xml:space="preserve"> пострадавших и погибших на пожаре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Style w:val="723"/>
          <w:rFonts w:ascii="Times New Roman" w:hAnsi="Times New Roman"/>
          <w:sz w:val="28"/>
          <w:szCs w:val="28"/>
        </w:rPr>
        <w:t xml:space="preserve"> </w:t>
      </w:r>
      <w:r>
        <w:rPr>
          <w:rStyle w:val="723"/>
          <w:rFonts w:ascii="Times New Roman" w:hAnsi="Times New Roman"/>
          <w:sz w:val="28"/>
          <w:szCs w:val="28"/>
        </w:rPr>
        <w:t xml:space="preserve">[1-4]</w:t>
      </w:r>
      <w:r>
        <w:rPr>
          <w:rStyle w:val="723"/>
          <w:rFonts w:ascii="Times New Roman" w:hAnsi="Times New Roman"/>
          <w:sz w:val="28"/>
          <w:szCs w:val="28"/>
        </w:rPr>
      </w:r>
    </w:p>
    <w:p>
      <w:pPr>
        <w:pStyle w:val="712"/>
        <w:ind w:firstLine="708"/>
        <w:jc w:val="both"/>
        <w:spacing w:line="360" w:lineRule="auto"/>
        <w:rPr>
          <w:rStyle w:val="723"/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Style w:val="723"/>
          <w:rFonts w:ascii="Times New Roman" w:hAnsi="Times New Roman"/>
          <w:sz w:val="28"/>
          <w:szCs w:val="28"/>
          <w:lang w:val="en-US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185285" cy="2154116"/>
            <wp:effectExtent l="0" t="0" r="0" b="0"/>
            <wp:docPr id="1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</w:t>
      </w:r>
      <w:r>
        <w:rPr>
          <w:rFonts w:ascii="Times New Roman" w:hAnsi="Times New Roman" w:cs="Times New Roman"/>
          <w:bCs/>
          <w:sz w:val="28"/>
          <w:szCs w:val="28"/>
        </w:rPr>
        <w:t xml:space="preserve">. 1.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числа пожаров </w:t>
      </w:r>
      <w:r>
        <w:rPr>
          <w:rFonts w:ascii="Times New Roman" w:hAnsi="Times New Roman" w:cs="Times New Roman"/>
          <w:sz w:val="28"/>
          <w:szCs w:val="28"/>
        </w:rPr>
        <w:t xml:space="preserve">по годам.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331970" cy="2104292"/>
            <wp:effectExtent l="0" t="0" r="0" b="0"/>
            <wp:docPr id="2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</w:t>
      </w:r>
      <w:r>
        <w:rPr>
          <w:rFonts w:ascii="Times New Roman" w:hAnsi="Times New Roman" w:cs="Times New Roman"/>
          <w:bCs/>
          <w:sz w:val="28"/>
          <w:szCs w:val="28"/>
        </w:rPr>
        <w:t xml:space="preserve">. 2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погибших </w:t>
      </w:r>
      <w:r>
        <w:rPr>
          <w:rFonts w:ascii="Times New Roman" w:hAnsi="Times New Roman" w:cs="Times New Roman"/>
          <w:sz w:val="28"/>
          <w:szCs w:val="28"/>
        </w:rPr>
        <w:t xml:space="preserve">по годам.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544060" cy="2332893"/>
            <wp:effectExtent l="0" t="0" r="0" b="0"/>
            <wp:docPr id="3" name="Диаграмма 131309150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</w:t>
      </w:r>
      <w:r>
        <w:rPr>
          <w:rFonts w:ascii="Times New Roman" w:hAnsi="Times New Roman" w:cs="Times New Roman"/>
          <w:bCs/>
          <w:sz w:val="28"/>
          <w:szCs w:val="28"/>
        </w:rPr>
        <w:t xml:space="preserve">. 3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Распределение </w:t>
      </w:r>
      <w:r>
        <w:rPr>
          <w:rFonts w:ascii="Times New Roman" w:hAnsi="Times New Roman" w:cs="Times New Roman"/>
          <w:sz w:val="28"/>
          <w:szCs w:val="28"/>
        </w:rPr>
        <w:t xml:space="preserve">получивших травмы на пожаре по годам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Известно, что наибольшее количество жертв на пожарах происходит по причине отр</w:t>
      </w:r>
      <w:r>
        <w:rPr>
          <w:rFonts w:ascii="Times New Roman" w:hAnsi="Times New Roman" w:cs="Times New Roman"/>
          <w:sz w:val="28"/>
          <w:szCs w:val="28"/>
        </w:rPr>
        <w:t xml:space="preserve">авления токсичными продуктами горения, от воздействия высокой температуры, от понижения концентрации кислорода. Таким образом, мы считаем, что большинство людей, погибших и пострадавших на пожарах, стали жертвами не своевременной эвакуации из опасной зоны.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723"/>
          <w:rFonts w:ascii="Times New Roman" w:hAnsi="Times New Roman" w:cs="Times New Roman"/>
          <w:sz w:val="28"/>
          <w:szCs w:val="28"/>
        </w:rPr>
        <w:t xml:space="preserve">И хотя указанные показатели, кратно ниже, чем в среднем по субъектам Уральского федерального округа, они являются достаточно высокими и как мы </w:t>
      </w:r>
      <w:r>
        <w:rPr>
          <w:rStyle w:val="723"/>
          <w:rFonts w:ascii="Times New Roman" w:hAnsi="Times New Roman" w:cs="Times New Roman"/>
          <w:sz w:val="28"/>
          <w:szCs w:val="28"/>
        </w:rPr>
        <w:t xml:space="preserve">считаем</w:t>
      </w:r>
      <w:r>
        <w:rPr>
          <w:rStyle w:val="723"/>
          <w:rFonts w:ascii="Times New Roman" w:hAnsi="Times New Roman" w:cs="Times New Roman"/>
          <w:sz w:val="28"/>
          <w:szCs w:val="28"/>
        </w:rPr>
        <w:t xml:space="preserve"> требующими глубокого изучения и принятия соответствующих мер.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нашей статье мы р</w:t>
      </w:r>
      <w:r>
        <w:rPr>
          <w:rFonts w:ascii="Times New Roman" w:hAnsi="Times New Roman" w:cs="Times New Roman"/>
          <w:sz w:val="28"/>
          <w:szCs w:val="28"/>
        </w:rPr>
        <w:t xml:space="preserve">ассмотрим самую распространенную причину гибели людей</w:t>
      </w:r>
      <w:r>
        <w:rPr>
          <w:rFonts w:ascii="Times New Roman" w:hAnsi="Times New Roman" w:cs="Times New Roman"/>
          <w:sz w:val="28"/>
          <w:szCs w:val="28"/>
        </w:rPr>
        <w:t xml:space="preserve"> – отравление токсичными продуктами горения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Именно п</w:t>
      </w:r>
      <w:r>
        <w:rPr>
          <w:rFonts w:ascii="Times New Roman" w:hAnsi="Times New Roman" w:cs="Times New Roman"/>
          <w:sz w:val="28"/>
          <w:szCs w:val="28"/>
        </w:rPr>
        <w:t xml:space="preserve">овышенная концентрация </w:t>
      </w:r>
      <w:r>
        <w:rPr>
          <w:rFonts w:ascii="Times New Roman" w:hAnsi="Times New Roman" w:cs="Times New Roman"/>
          <w:sz w:val="28"/>
          <w:szCs w:val="28"/>
        </w:rPr>
        <w:t xml:space="preserve">токсичных продуктов горения и термического разложения,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создаваемая </w:t>
      </w:r>
      <w:r>
        <w:rPr>
          <w:rFonts w:ascii="Times New Roman" w:hAnsi="Times New Roman" w:cs="Times New Roman"/>
          <w:sz w:val="28"/>
          <w:szCs w:val="28"/>
        </w:rPr>
        <w:t xml:space="preserve">в горящих помещениях,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источником наибольшего </w:t>
      </w:r>
      <w:r>
        <w:rPr>
          <w:rFonts w:ascii="Times New Roman" w:hAnsi="Times New Roman" w:cs="Times New Roman"/>
          <w:sz w:val="28"/>
          <w:szCs w:val="28"/>
        </w:rPr>
        <w:t xml:space="preserve">числ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жертв, </w:t>
      </w:r>
      <w:r>
        <w:rPr>
          <w:rFonts w:ascii="Times New Roman" w:hAnsi="Times New Roman" w:cs="Times New Roman"/>
          <w:sz w:val="28"/>
          <w:szCs w:val="28"/>
        </w:rPr>
        <w:t xml:space="preserve">так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ядовитые</w:t>
      </w:r>
      <w:r>
        <w:rPr>
          <w:rFonts w:ascii="Times New Roman" w:hAnsi="Times New Roman" w:cs="Times New Roman"/>
          <w:sz w:val="28"/>
          <w:szCs w:val="28"/>
        </w:rPr>
        <w:t xml:space="preserve"> вещества начинают образовываться уже </w:t>
      </w:r>
      <w:r>
        <w:rPr>
          <w:rFonts w:ascii="Times New Roman" w:hAnsi="Times New Roman" w:cs="Times New Roman"/>
          <w:sz w:val="28"/>
          <w:szCs w:val="28"/>
        </w:rPr>
        <w:t xml:space="preserve">спустя</w:t>
      </w:r>
      <w:r>
        <w:rPr>
          <w:rFonts w:ascii="Times New Roman" w:hAnsi="Times New Roman" w:cs="Times New Roman"/>
          <w:sz w:val="28"/>
          <w:szCs w:val="28"/>
        </w:rPr>
        <w:t xml:space="preserve"> нескольк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минут </w:t>
      </w:r>
      <w:r>
        <w:rPr>
          <w:rFonts w:ascii="Times New Roman" w:hAnsi="Times New Roman" w:cs="Times New Roman"/>
          <w:sz w:val="28"/>
          <w:szCs w:val="28"/>
        </w:rPr>
        <w:t xml:space="preserve">спустя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>
        <w:rPr>
          <w:rFonts w:ascii="Times New Roman" w:hAnsi="Times New Roman" w:cs="Times New Roman"/>
          <w:sz w:val="28"/>
          <w:szCs w:val="28"/>
        </w:rPr>
        <w:t xml:space="preserve">возникновения пожара.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опасными </w:t>
      </w:r>
      <w:r>
        <w:rPr>
          <w:rFonts w:ascii="Times New Roman" w:hAnsi="Times New Roman" w:cs="Times New Roman"/>
          <w:sz w:val="28"/>
          <w:szCs w:val="28"/>
        </w:rPr>
        <w:t xml:space="preserve">компонентами токсичного дыма</w:t>
      </w:r>
      <w:r>
        <w:rPr>
          <w:rFonts w:ascii="Times New Roman" w:hAnsi="Times New Roman" w:cs="Times New Roman"/>
          <w:sz w:val="28"/>
          <w:szCs w:val="28"/>
        </w:rPr>
        <w:t xml:space="preserve"> продуктов горения </w:t>
      </w:r>
      <w:r>
        <w:rPr>
          <w:rFonts w:ascii="Times New Roman" w:hAnsi="Times New Roman" w:cs="Times New Roman"/>
          <w:sz w:val="28"/>
          <w:szCs w:val="28"/>
        </w:rPr>
        <w:t xml:space="preserve">можно считать</w:t>
      </w:r>
      <w:r>
        <w:rPr>
          <w:rFonts w:ascii="Times New Roman" w:hAnsi="Times New Roman" w:cs="Times New Roman"/>
          <w:sz w:val="28"/>
          <w:szCs w:val="28"/>
        </w:rPr>
        <w:t xml:space="preserve"> оксид углерода (СО), хлороводород (HCl) </w:t>
      </w:r>
      <w:r>
        <w:rPr>
          <w:rFonts w:ascii="Times New Roman" w:hAnsi="Times New Roman" w:cs="Times New Roman"/>
          <w:sz w:val="28"/>
          <w:szCs w:val="28"/>
        </w:rPr>
        <w:t xml:space="preserve">и циановодород (HCN). Также увеличение токсичного эффекта горения способствует повышенное содержание диоксида углерода (СО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), что является следствием уменьшения концентрации кислорода (О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) в окружающем пространстве.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ин</w:t>
      </w:r>
      <w:r>
        <w:rPr>
          <w:rFonts w:ascii="Times New Roman" w:hAnsi="Times New Roman" w:cs="Times New Roman"/>
          <w:sz w:val="28"/>
          <w:szCs w:val="28"/>
        </w:rPr>
        <w:t xml:space="preserve"> из основных компонентов дыма, выделяющийся при тлении и пламенном горении практически всех горючих веществ и материалов, являе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угарный газ, концентрация которого </w:t>
      </w:r>
      <w:r>
        <w:rPr>
          <w:rFonts w:ascii="Times New Roman" w:hAnsi="Times New Roman" w:cs="Times New Roman"/>
          <w:sz w:val="28"/>
          <w:szCs w:val="28"/>
        </w:rPr>
        <w:t xml:space="preserve">в зоне пожара </w:t>
      </w:r>
      <w:r>
        <w:rPr>
          <w:rFonts w:ascii="Times New Roman" w:hAnsi="Times New Roman" w:cs="Times New Roman"/>
          <w:sz w:val="28"/>
          <w:szCs w:val="28"/>
        </w:rPr>
        <w:t xml:space="preserve">может превышать 10%. </w:t>
      </w:r>
      <w:r>
        <w:rPr>
          <w:rFonts w:ascii="Times New Roman" w:hAnsi="Times New Roman" w:cs="Times New Roman"/>
          <w:sz w:val="28"/>
          <w:szCs w:val="28"/>
        </w:rPr>
        <w:t xml:space="preserve">Он воздействует на организм следующим образом, когда концентрация достигает 0,05% у человека развивается головокружение, при 0,1% - обморок, а при концентрации в 0,2% и выше появляется высокий риск смерти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]. Токсич</w:t>
      </w:r>
      <w:r>
        <w:rPr>
          <w:rFonts w:ascii="Times New Roman" w:hAnsi="Times New Roman" w:cs="Times New Roman"/>
          <w:sz w:val="28"/>
          <w:szCs w:val="28"/>
        </w:rPr>
        <w:t xml:space="preserve">ность</w:t>
      </w:r>
      <w:r>
        <w:rPr>
          <w:rFonts w:ascii="Times New Roman" w:hAnsi="Times New Roman" w:cs="Times New Roman"/>
          <w:sz w:val="28"/>
          <w:szCs w:val="28"/>
        </w:rPr>
        <w:t xml:space="preserve"> угарного газа </w:t>
      </w:r>
      <w:r>
        <w:rPr>
          <w:rFonts w:ascii="Times New Roman" w:hAnsi="Times New Roman" w:cs="Times New Roman"/>
          <w:sz w:val="28"/>
          <w:szCs w:val="28"/>
        </w:rPr>
        <w:t xml:space="preserve">на прямую связано с</w:t>
      </w:r>
      <w:r>
        <w:rPr>
          <w:rFonts w:ascii="Times New Roman" w:hAnsi="Times New Roman" w:cs="Times New Roman"/>
          <w:sz w:val="28"/>
          <w:szCs w:val="28"/>
        </w:rPr>
        <w:t xml:space="preserve"> гемоглобином</w:t>
      </w:r>
      <w:r>
        <w:rPr>
          <w:rFonts w:ascii="Times New Roman" w:hAnsi="Times New Roman" w:cs="Times New Roman"/>
          <w:sz w:val="28"/>
          <w:szCs w:val="28"/>
        </w:rPr>
        <w:t xml:space="preserve">, в результате их взаимодействия образовывается</w:t>
      </w:r>
      <w:r>
        <w:rPr>
          <w:rFonts w:ascii="Times New Roman" w:hAnsi="Times New Roman" w:cs="Times New Roman"/>
          <w:sz w:val="28"/>
          <w:szCs w:val="28"/>
        </w:rPr>
        <w:t xml:space="preserve"> карбоксигемоглобин (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HbCO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который </w:t>
      </w:r>
      <w:r>
        <w:rPr>
          <w:rFonts w:ascii="Times New Roman" w:hAnsi="Times New Roman" w:cs="Times New Roman"/>
          <w:sz w:val="28"/>
          <w:szCs w:val="28"/>
        </w:rPr>
        <w:t xml:space="preserve">неспособ</w:t>
      </w:r>
      <w:r>
        <w:rPr>
          <w:rFonts w:ascii="Times New Roman" w:hAnsi="Times New Roman" w:cs="Times New Roman"/>
          <w:sz w:val="28"/>
          <w:szCs w:val="28"/>
        </w:rPr>
        <w:t xml:space="preserve">ен</w:t>
      </w:r>
      <w:r>
        <w:rPr>
          <w:rFonts w:ascii="Times New Roman" w:hAnsi="Times New Roman" w:cs="Times New Roman"/>
          <w:sz w:val="28"/>
          <w:szCs w:val="28"/>
        </w:rPr>
        <w:t xml:space="preserve"> переносить кислород, </w:t>
      </w:r>
      <w:r>
        <w:rPr>
          <w:rFonts w:ascii="Times New Roman" w:hAnsi="Times New Roman" w:cs="Times New Roman"/>
          <w:sz w:val="28"/>
          <w:szCs w:val="28"/>
        </w:rPr>
        <w:t xml:space="preserve">вследствие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чего развивается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транспортн</w:t>
      </w:r>
      <w:r>
        <w:rPr>
          <w:rFonts w:ascii="Times New Roman" w:hAnsi="Times New Roman" w:cs="Times New Roman"/>
          <w:sz w:val="28"/>
          <w:szCs w:val="28"/>
        </w:rPr>
        <w:t xml:space="preserve">ая</w:t>
      </w:r>
      <w:r>
        <w:rPr>
          <w:rFonts w:ascii="Times New Roman" w:hAnsi="Times New Roman" w:cs="Times New Roman"/>
          <w:sz w:val="28"/>
          <w:szCs w:val="28"/>
        </w:rPr>
        <w:t xml:space="preserve"> гипокси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разбора уровня воздействия </w:t>
      </w:r>
      <w:r>
        <w:rPr>
          <w:rFonts w:ascii="Times New Roman" w:hAnsi="Times New Roman" w:cs="Times New Roman"/>
          <w:sz w:val="28"/>
          <w:szCs w:val="28"/>
        </w:rPr>
        <w:t xml:space="preserve">опасных факторов пожара (далее – </w:t>
      </w:r>
      <w:r>
        <w:rPr>
          <w:rFonts w:ascii="Times New Roman" w:hAnsi="Times New Roman" w:cs="Times New Roman"/>
          <w:sz w:val="28"/>
          <w:szCs w:val="28"/>
        </w:rPr>
        <w:t xml:space="preserve">ОФП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на жизнь и здоровье человека используется такое понятие как предельно допустим</w:t>
      </w:r>
      <w:r>
        <w:rPr>
          <w:rFonts w:ascii="Times New Roman" w:hAnsi="Times New Roman" w:cs="Times New Roman"/>
          <w:sz w:val="28"/>
          <w:szCs w:val="28"/>
        </w:rPr>
        <w:t xml:space="preserve">ые</w:t>
      </w:r>
      <w:r>
        <w:rPr>
          <w:rFonts w:ascii="Times New Roman" w:hAnsi="Times New Roman" w:cs="Times New Roman"/>
          <w:sz w:val="28"/>
          <w:szCs w:val="28"/>
        </w:rPr>
        <w:t xml:space="preserve"> значени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ОФП</w:t>
      </w:r>
      <w:r>
        <w:rPr>
          <w:rFonts w:ascii="Times New Roman" w:hAnsi="Times New Roman" w:cs="Times New Roman"/>
          <w:sz w:val="28"/>
          <w:szCs w:val="28"/>
        </w:rPr>
        <w:t xml:space="preserve">. О</w:t>
      </w:r>
      <w:r>
        <w:rPr>
          <w:rFonts w:ascii="Times New Roman" w:hAnsi="Times New Roman" w:cs="Times New Roman"/>
          <w:sz w:val="28"/>
          <w:szCs w:val="28"/>
        </w:rPr>
        <w:t xml:space="preserve">ни получены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обширных</w:t>
      </w:r>
      <w:r>
        <w:rPr>
          <w:rFonts w:ascii="Times New Roman" w:hAnsi="Times New Roman" w:cs="Times New Roman"/>
          <w:sz w:val="28"/>
          <w:szCs w:val="28"/>
        </w:rPr>
        <w:t xml:space="preserve"> исследований, в процессе которых установлен характер влияния ОФП на людей в зависимости от их количественных значений, </w:t>
      </w:r>
      <w:r>
        <w:rPr>
          <w:rFonts w:ascii="Times New Roman" w:hAnsi="Times New Roman" w:cs="Times New Roman"/>
          <w:sz w:val="28"/>
          <w:szCs w:val="28"/>
        </w:rPr>
        <w:t xml:space="preserve">что представлено</w:t>
      </w:r>
      <w:r>
        <w:rPr>
          <w:rFonts w:ascii="Times New Roman" w:hAnsi="Times New Roman" w:cs="Times New Roman"/>
          <w:sz w:val="28"/>
          <w:szCs w:val="28"/>
        </w:rPr>
        <w:t xml:space="preserve"> ГОСТ 12.1.004-91. Так</w:t>
      </w:r>
      <w:r>
        <w:rPr>
          <w:rFonts w:ascii="Times New Roman" w:hAnsi="Times New Roman" w:cs="Times New Roman"/>
          <w:sz w:val="28"/>
          <w:szCs w:val="28"/>
        </w:rPr>
        <w:t xml:space="preserve">, например,</w:t>
      </w:r>
      <w:r>
        <w:rPr>
          <w:rFonts w:ascii="Times New Roman" w:hAnsi="Times New Roman" w:cs="Times New Roman"/>
          <w:sz w:val="28"/>
          <w:szCs w:val="28"/>
        </w:rPr>
        <w:t xml:space="preserve"> предельное значение концентрации окиси углерода</w:t>
      </w:r>
      <w:r>
        <w:rPr>
          <w:rFonts w:ascii="Times New Roman" w:hAnsi="Times New Roman" w:cs="Times New Roman"/>
          <w:sz w:val="28"/>
          <w:szCs w:val="28"/>
        </w:rPr>
        <w:t xml:space="preserve"> (СО)</w:t>
      </w:r>
      <w:r>
        <w:rPr>
          <w:rFonts w:ascii="Times New Roman" w:hAnsi="Times New Roman" w:cs="Times New Roman"/>
          <w:sz w:val="28"/>
          <w:szCs w:val="28"/>
        </w:rPr>
        <w:t xml:space="preserve"> равно 1,16*10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-3</w:t>
      </w:r>
      <w:r>
        <w:rPr>
          <w:rFonts w:ascii="Times New Roman" w:hAnsi="Times New Roman" w:cs="Times New Roman"/>
          <w:sz w:val="28"/>
          <w:szCs w:val="28"/>
        </w:rPr>
        <w:t xml:space="preserve"> кг/м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, а для диоксида углерода</w:t>
      </w:r>
      <w:r>
        <w:rPr>
          <w:rFonts w:ascii="Times New Roman" w:hAnsi="Times New Roman" w:cs="Times New Roman"/>
          <w:sz w:val="28"/>
          <w:szCs w:val="28"/>
        </w:rPr>
        <w:t xml:space="preserve"> (СО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0,11 кг/м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считаем, для того чтобы с</w:t>
      </w:r>
      <w:r>
        <w:rPr>
          <w:rFonts w:ascii="Times New Roman" w:hAnsi="Times New Roman" w:cs="Times New Roman"/>
          <w:sz w:val="28"/>
          <w:szCs w:val="28"/>
        </w:rPr>
        <w:t xml:space="preserve">низить риск гибели </w:t>
      </w:r>
      <w:r>
        <w:rPr>
          <w:rFonts w:ascii="Times New Roman" w:hAnsi="Times New Roman" w:cs="Times New Roman"/>
          <w:sz w:val="28"/>
          <w:szCs w:val="28"/>
        </w:rPr>
        <w:t xml:space="preserve">и травмирования людей при пожарах, в том числе отравления </w:t>
      </w:r>
      <w:r>
        <w:rPr>
          <w:rFonts w:ascii="Times New Roman" w:hAnsi="Times New Roman" w:cs="Times New Roman"/>
          <w:sz w:val="28"/>
          <w:szCs w:val="28"/>
        </w:rPr>
        <w:t xml:space="preserve">продуктами горения, </w:t>
      </w:r>
      <w:r>
        <w:rPr>
          <w:rFonts w:ascii="Times New Roman" w:hAnsi="Times New Roman" w:cs="Times New Roman"/>
          <w:sz w:val="28"/>
          <w:szCs w:val="28"/>
        </w:rPr>
        <w:t xml:space="preserve">необходим комплексный подход, включающий в себя следующие мероприятия: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</w:t>
      </w:r>
      <w:r>
        <w:rPr>
          <w:rFonts w:ascii="Times New Roman" w:hAnsi="Times New Roman" w:cs="Times New Roman"/>
          <w:sz w:val="28"/>
          <w:szCs w:val="28"/>
        </w:rPr>
        <w:t xml:space="preserve">оддержание в готовности автоматических систем обнаружения пожара и оповещения людей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</w:t>
      </w:r>
      <w:r>
        <w:rPr>
          <w:rFonts w:ascii="Times New Roman" w:hAnsi="Times New Roman" w:cs="Times New Roman"/>
          <w:sz w:val="28"/>
          <w:szCs w:val="28"/>
        </w:rPr>
        <w:t xml:space="preserve">роведение практических противопожарных тренировок по отработке действий работников при возникновении пожароопасных ситуаций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</w:t>
      </w:r>
      <w:r>
        <w:rPr>
          <w:rFonts w:ascii="Times New Roman" w:hAnsi="Times New Roman" w:cs="Times New Roman"/>
          <w:sz w:val="28"/>
          <w:szCs w:val="28"/>
        </w:rPr>
        <w:t xml:space="preserve">беспечение работников средствами индивидуальной защиты органов дыхания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применение подручных средств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с решением первого вопроса особых проблем не возникает, в большинстве </w:t>
      </w:r>
      <w:r>
        <w:rPr>
          <w:rFonts w:ascii="Times New Roman" w:hAnsi="Times New Roman" w:cs="Times New Roman"/>
          <w:sz w:val="28"/>
          <w:szCs w:val="28"/>
        </w:rPr>
        <w:t xml:space="preserve">случаев</w:t>
      </w:r>
      <w:r>
        <w:rPr>
          <w:rFonts w:ascii="Times New Roman" w:hAnsi="Times New Roman" w:cs="Times New Roman"/>
          <w:sz w:val="28"/>
          <w:szCs w:val="28"/>
        </w:rPr>
        <w:t xml:space="preserve">, то со втор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и с </w:t>
      </w:r>
      <w:r>
        <w:rPr>
          <w:rFonts w:ascii="Times New Roman" w:hAnsi="Times New Roman" w:cs="Times New Roman"/>
          <w:sz w:val="28"/>
          <w:szCs w:val="28"/>
        </w:rPr>
        <w:t xml:space="preserve">третьим</w:t>
      </w:r>
      <w:r>
        <w:rPr>
          <w:rFonts w:ascii="Times New Roman" w:hAnsi="Times New Roman" w:cs="Times New Roman"/>
          <w:sz w:val="28"/>
          <w:szCs w:val="28"/>
        </w:rPr>
        <w:t xml:space="preserve"> они в той или иной степени имеются.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показала практика, если п</w:t>
      </w:r>
      <w:r>
        <w:rPr>
          <w:rFonts w:ascii="Times New Roman" w:hAnsi="Times New Roman" w:cs="Times New Roman"/>
          <w:sz w:val="28"/>
          <w:szCs w:val="28"/>
        </w:rPr>
        <w:t xml:space="preserve">ротивопожарные тренировки </w:t>
      </w:r>
      <w:r>
        <w:rPr>
          <w:rFonts w:ascii="Times New Roman" w:hAnsi="Times New Roman" w:cs="Times New Roman"/>
          <w:sz w:val="28"/>
          <w:szCs w:val="28"/>
        </w:rPr>
        <w:t xml:space="preserve">проводить без формализма, то они имеют высокую эффективность, формируют правильность поведения и </w:t>
      </w:r>
      <w:r>
        <w:rPr>
          <w:rFonts w:ascii="Times New Roman" w:hAnsi="Times New Roman" w:cs="Times New Roman"/>
          <w:sz w:val="28"/>
          <w:szCs w:val="28"/>
        </w:rPr>
        <w:t xml:space="preserve">уверенность в действиях человека при пожаре. Ведь именно быстрота и четкость </w:t>
      </w:r>
      <w:r>
        <w:rPr>
          <w:rFonts w:ascii="Times New Roman" w:hAnsi="Times New Roman" w:cs="Times New Roman"/>
          <w:sz w:val="28"/>
          <w:szCs w:val="28"/>
        </w:rPr>
        <w:t xml:space="preserve">его первоначальных </w:t>
      </w:r>
      <w:r>
        <w:rPr>
          <w:rFonts w:ascii="Times New Roman" w:hAnsi="Times New Roman" w:cs="Times New Roman"/>
          <w:sz w:val="28"/>
          <w:szCs w:val="28"/>
        </w:rPr>
        <w:t xml:space="preserve">действий буд</w:t>
      </w:r>
      <w:r>
        <w:rPr>
          <w:rFonts w:ascii="Times New Roman" w:hAnsi="Times New Roman" w:cs="Times New Roman"/>
          <w:sz w:val="28"/>
          <w:szCs w:val="28"/>
        </w:rPr>
        <w:t xml:space="preserve">ут</w:t>
      </w:r>
      <w:r>
        <w:rPr>
          <w:rFonts w:ascii="Times New Roman" w:hAnsi="Times New Roman" w:cs="Times New Roman"/>
          <w:sz w:val="28"/>
          <w:szCs w:val="28"/>
        </w:rPr>
        <w:t xml:space="preserve"> иметь решающее значение во взаимодействии </w:t>
      </w:r>
      <w:r>
        <w:rPr>
          <w:rFonts w:ascii="Times New Roman" w:hAnsi="Times New Roman" w:cs="Times New Roman"/>
          <w:sz w:val="28"/>
          <w:szCs w:val="28"/>
        </w:rPr>
        <w:t xml:space="preserve">с ОФП,</w:t>
      </w:r>
      <w:r>
        <w:rPr>
          <w:rFonts w:ascii="Times New Roman" w:hAnsi="Times New Roman" w:cs="Times New Roman"/>
          <w:sz w:val="28"/>
          <w:szCs w:val="28"/>
        </w:rPr>
        <w:t xml:space="preserve"> которые для каждого объекта разные. И его необходимо </w:t>
      </w:r>
      <w:r>
        <w:rPr>
          <w:rFonts w:ascii="Times New Roman" w:hAnsi="Times New Roman" w:cs="Times New Roman"/>
          <w:sz w:val="28"/>
          <w:szCs w:val="28"/>
        </w:rPr>
        <w:t xml:space="preserve">рассчитать</w:t>
      </w:r>
      <w:r>
        <w:rPr>
          <w:rFonts w:ascii="Times New Roman" w:hAnsi="Times New Roman" w:cs="Times New Roman"/>
          <w:sz w:val="28"/>
          <w:szCs w:val="28"/>
        </w:rPr>
        <w:t xml:space="preserve"> заблаговременно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утвержденной методикой и учитывать при обеспечении мер по пожарной безопасности на объекте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Таким образом, при изучении данной проблемы нами был проведен расчет,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основанный</w:t>
      </w:r>
      <w:r>
        <w:rPr>
          <w:rFonts w:ascii="Times New Roman" w:hAnsi="Times New Roman" w:cs="Times New Roman"/>
          <w:sz w:val="28"/>
          <w:szCs w:val="28"/>
        </w:rPr>
        <w:t xml:space="preserve"> на методе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упрощенной</w:t>
      </w:r>
      <w:r>
        <w:rPr>
          <w:rFonts w:ascii="Times New Roman" w:hAnsi="Times New Roman" w:cs="Times New Roman"/>
          <w:sz w:val="28"/>
          <w:szCs w:val="28"/>
        </w:rPr>
        <w:t xml:space="preserve"> аналитическ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модел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движения людского потока</w:t>
      </w:r>
      <w:r>
        <w:rPr>
          <w:rFonts w:ascii="Times New Roman" w:hAnsi="Times New Roman" w:cs="Times New Roman"/>
          <w:sz w:val="28"/>
          <w:szCs w:val="28"/>
        </w:rPr>
        <w:t xml:space="preserve">, представлен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рисун</w:t>
      </w:r>
      <w:r>
        <w:rPr>
          <w:rFonts w:ascii="Times New Roman" w:hAnsi="Times New Roman" w:cs="Times New Roman"/>
          <w:sz w:val="28"/>
          <w:szCs w:val="28"/>
        </w:rPr>
        <w:t xml:space="preserve">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57" w:right="-57" w:firstLine="624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590534" cy="3827585"/>
                <wp:effectExtent l="0" t="0" r="0" b="0"/>
                <wp:docPr id="4" name="Объект 1"/>
                <wp:cNvGraphicFramePr/>
                <a:graphic xmlns:a="http://schemas.openxmlformats.org/drawingml/2006/main">
                  <a:graphicData uri="http://schemas.microsoft.com/office/word/2010/wordprocessingGroup">
                    <lc:lockedCanvas xmlns:lc="http://schemas.openxmlformats.org/drawingml/2006/lockedCanvas">
                      <a:nvGrpSpPr>
                        <a:cNvPr id="0" name=""/>
                        <a:cNvGrpSpPr/>
                      </a:nvGrpSpPr>
                      <a:grpSpPr bwMode="auto">
                        <a:xfrm>
                          <a:off x="0" y="0"/>
                          <a:ext cx="6912768" cy="8352928"/>
                          <a:chOff x="1403648" y="188640"/>
                          <a:chExt cx="6912768" cy="8352928"/>
                        </a:xfrm>
                      </a:grpSpPr>
                      <a:sp>
                        <a:nvSpPr>
                          <a:cNvPr id="4" name="Прямоугольник 3"/>
                          <a:cNvSpPr/>
                        </a:nvSpPr>
                        <a:spPr bwMode="auto">
                          <a:xfrm>
                            <a:off x="3275856" y="188640"/>
                            <a:ext cx="3240360" cy="43204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1. Разбиение на участки</a:t>
                              </a:r>
                              <a:endParaRPr lang="ru-RU" sz="14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" name="Прямоугольник 5"/>
                          <a:cNvSpPr/>
                        </a:nvSpPr>
                        <a:spPr bwMode="auto">
                          <a:xfrm>
                            <a:off x="3275856" y="809328"/>
                            <a:ext cx="3240360" cy="64807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2. Определение длины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l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и ширины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</a:t>
                              </a:r>
                              <a:r>
                                <a:rPr lang="el-GR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δ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участка</a:t>
                              </a:r>
                              <a:endParaRPr lang="ru-RU" sz="14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" name="Прямоугольник 6"/>
                          <a:cNvSpPr/>
                        </a:nvSpPr>
                        <a:spPr bwMode="auto">
                          <a:xfrm>
                            <a:off x="3275856" y="1673424"/>
                            <a:ext cx="3240360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3. Определение плотности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D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на участках</a:t>
                              </a:r>
                              <a:endParaRPr lang="ru-RU" sz="14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" name="Прямоугольник 7"/>
                          <a:cNvSpPr/>
                        </a:nvSpPr>
                        <a:spPr bwMode="auto">
                          <a:xfrm>
                            <a:off x="3275856" y="2465512"/>
                            <a:ext cx="3240360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4. Определение интенсивности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qi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и скорости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V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в зависимости от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D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endParaRPr lang="ru-RU" sz="1400" baseline="-250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" name="Прямоугольник 8"/>
                          <a:cNvSpPr/>
                        </a:nvSpPr>
                        <a:spPr bwMode="auto">
                          <a:xfrm>
                            <a:off x="3275856" y="3257600"/>
                            <a:ext cx="3240360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5. Определение времени движения на участке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t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endParaRPr lang="ru-RU" sz="1400" baseline="-250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" name="Прямоугольник 9"/>
                          <a:cNvSpPr/>
                        </a:nvSpPr>
                        <a:spPr bwMode="auto">
                          <a:xfrm>
                            <a:off x="3275856" y="4049688"/>
                            <a:ext cx="3240360" cy="89148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6. Определение интенсивности на последующих участках, исходя из уравнения неразрывности людских потоков</a:t>
                              </a:r>
                              <a:endParaRPr lang="ru-RU" sz="14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" name="Ромб 10"/>
                          <a:cNvSpPr/>
                        </a:nvSpPr>
                        <a:spPr bwMode="auto">
                          <a:xfrm>
                            <a:off x="3851920" y="5157192"/>
                            <a:ext cx="2016224" cy="1512168"/>
                          </a:xfrm>
                          <a:prstGeom prst="diamond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Сравнение</a:t>
                              </a:r>
                              <a:r>
                                <a:rPr lang="ru-RU" sz="1400">
                                  <a:latin typeface="Times New Roman"/>
                                  <a:cs typeface="Times New Roman"/>
                                </a:rPr>
                                <a:t>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с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max</a:t>
                              </a:r>
                              <a:endParaRPr lang="ru-RU" sz="1400" baseline="-25000"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2" name="Прямоугольник 11"/>
                          <a:cNvSpPr/>
                        </a:nvSpPr>
                        <a:spPr bwMode="auto">
                          <a:xfrm>
                            <a:off x="1403648" y="6858000"/>
                            <a:ext cx="3240360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5. Определение времени движения на участке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t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endParaRPr lang="ru-RU" sz="1400" baseline="-250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3" name="Прямоугольник 12"/>
                          <a:cNvSpPr/>
                        </a:nvSpPr>
                        <a:spPr bwMode="auto">
                          <a:xfrm>
                            <a:off x="5076056" y="6858000"/>
                            <a:ext cx="3240360" cy="57606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7. Определение задержки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t</a:t>
                              </a:r>
                              <a:r>
                                <a:rPr lang="ru-RU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з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и времени движения на участке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t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endParaRPr lang="ru-RU" sz="1400" baseline="-250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4" name="Прямоугольник 13"/>
                          <a:cNvSpPr/>
                        </a:nvSpPr>
                        <a:spPr bwMode="auto">
                          <a:xfrm>
                            <a:off x="3275856" y="7893496"/>
                            <a:ext cx="3240360" cy="64807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a:style>
                        <a:txSp>
                          <a:txBody>
                            <a:bodyPr rtlCol="0" anchor="ctr"/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lt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>
                                <a:defRPr/>
                              </a:pP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8. Суммирование времени движения по участкам на каждом из маршрутов</a:t>
                              </a:r>
                              <a:endParaRPr lang="ru-RU" sz="1400">
                                <a:solidFill>
                                  <a:schemeClr val="tx1"/>
                                </a:solidFill>
                                <a:latin typeface="Times New Roman"/>
                                <a:cs typeface="Times New Roman"/>
                              </a:endParaRPr>
                            </a:p>
                          </a:txBody>
                          <a:useSpRect/>
                        </a:txSp>
                      </a:sp>
                      <a:cxnSp>
                        <a:nvCxnSpPr>
                          <a:cNvPr id="17" name="Прямая со стрелкой 16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896036" y="1457400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18" name="Прямая со стрелкой 17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896036" y="2249488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19" name="Прямая со стрелкой 18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896036" y="620688"/>
                            <a:ext cx="0" cy="18864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27" name="Прямая со стрелкой 26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896036" y="3041576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30" name="Прямая со стрелкой 29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896036" y="3833664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51" name="Прямая со стрелкой 50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860032" y="4941168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55" name="Прямая со стрелкой 54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2987824" y="5949280"/>
                            <a:ext cx="0" cy="90872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58" name="Прямая со стрелкой 57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6732240" y="5949280"/>
                            <a:ext cx="0" cy="908720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64" name="Прямая соединительная линия 63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2987824" y="5949280"/>
                            <a:ext cx="936104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69" name="Прямая соединительная линия 68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5796136" y="5949280"/>
                            <a:ext cx="936104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73" name="Прямая со стрелкой 72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2987824" y="7461448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none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74" name="Прямая со стрелкой 73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6732240" y="7461448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none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75" name="Прямая соединительная линия 74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2987824" y="7677472"/>
                            <a:ext cx="3744416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77" name="Прямая со стрелкой 76"/>
                          <a:cNvCxnSpPr>
                            <a:cxnSpLocks/>
                          </a:cNvCxnSpPr>
                        </a:nvCxnSpPr>
                        <a:spPr bwMode="auto">
                          <a:xfrm>
                            <a:off x="4932040" y="7677472"/>
                            <a:ext cx="0" cy="216024"/>
                          </a:xfrm>
                          <a:prstGeom prst="straightConnector1">
                            <a:avLst/>
                          </a:prstGeom>
                          <a:ln w="254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sp>
                        <a:nvSpPr>
                          <a:cNvPr id="78" name="TextBox 77"/>
                          <a:cNvSpPr txBox="1"/>
                        </a:nvSpPr>
                        <a:spPr bwMode="auto">
                          <a:xfrm>
                            <a:off x="5868144" y="5589240"/>
                            <a:ext cx="936104" cy="307777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>
                                <a:defRPr/>
                              </a:pP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&gt;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max</a:t>
                              </a:r>
                              <a:endParaRPr lang="ru-RU" sz="1400" baseline="-2500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9" name="TextBox 78"/>
                          <a:cNvSpPr txBox="1"/>
                        </a:nvSpPr>
                        <a:spPr bwMode="auto">
                          <a:xfrm>
                            <a:off x="2915816" y="5589240"/>
                            <a:ext cx="936104" cy="307777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square" rtlCol="0">
                              <a:spAutoFit/>
                            </a:bodyPr>
                            <a:lstStyle>
                              <a:defPPr>
                                <a:defRPr lang="ru-RU"/>
                              </a:defPPr>
                              <a:lvl1pPr marL="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>
                                <a:defRPr sz="18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>
                                <a:defRPr/>
                              </a:pP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i</a:t>
                              </a:r>
                              <a:r>
                                <a:rPr lang="ru-RU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 ≤ </a:t>
                              </a:r>
                              <a:r>
                                <a:rPr lang="en-US" sz="14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q</a:t>
                              </a:r>
                              <a:r>
                                <a:rPr lang="en-US" sz="1400" baseline="-25000">
                                  <a:solidFill>
                                    <a:schemeClr val="tx1"/>
                                  </a:solidFill>
                                  <a:latin typeface="Times New Roman"/>
                                  <a:cs typeface="Times New Roman"/>
                                </a:rPr>
                                <a:t>max</a:t>
                              </a:r>
                              <a:endParaRPr lang="ru-RU" sz="1400" baseline="-25000"/>
                            </a:p>
                          </a:txBody>
                          <a:useSpRect/>
                        </a:txSp>
                      </a:sp>
                    </lc:lockedCanvas>
                  </a:graphicData>
                </a:graphic>
              </wp:inline>
            </w:drawing>
          </mc:Choice>
          <mc:Fallback>
            <w:pict>
              <v:group id="group 0" o:spid="_x0000_s0000" style="width:282.72pt;height:301.38pt;mso-wrap-distance-left:0.00pt;mso-wrap-distance-top:0.00pt;mso-wrap-distance-right:0.00pt;mso-wrap-distance-bottom:0.00pt;" coordorigin="14036,1886" coordsize="69127,83529">
                <v:shape id="shape 1" o:spid="_x0000_s1" o:spt="1" type="#_x0000_t1" style="position:absolute;left:32758;top:1886;width:32403;height:4320;v-text-anchor:middle;visibility:visible;" filled="f" strokecolor="#000000" strokeweight="2.00pt">
                  <v:stroke dashstyle="solid"/>
                </v:shape>
                <v:shape id="shape 2" o:spid="_x0000_s2" o:spt="1" type="#_x0000_t1" style="position:absolute;left:32758;top:8093;width:32403;height:6480;v-text-anchor:middle;visibility:visible;" filled="f" strokecolor="#000000" strokeweight="2.00pt">
                  <v:stroke dashstyle="solid"/>
                </v:shape>
                <v:shape id="shape 3" o:spid="_x0000_s3" o:spt="1" type="#_x0000_t1" style="position:absolute;left:32758;top:16734;width:32403;height:5760;v-text-anchor:middle;visibility:visible;" filled="f" strokecolor="#000000" strokeweight="2.00pt">
                  <v:stroke dashstyle="solid"/>
                </v:shape>
                <v:shape id="shape 4" o:spid="_x0000_s4" o:spt="1" type="#_x0000_t1" style="position:absolute;left:32758;top:24655;width:32403;height:5760;v-text-anchor:middle;visibility:visible;" filled="f" strokecolor="#000000" strokeweight="2.00pt">
                  <v:stroke dashstyle="solid"/>
                </v:shape>
                <v:shape id="shape 5" o:spid="_x0000_s5" o:spt="1" type="#_x0000_t1" style="position:absolute;left:32758;top:32576;width:32403;height:5760;v-text-anchor:middle;visibility:visible;" filled="f" strokecolor="#000000" strokeweight="2.00pt">
                  <v:stroke dashstyle="solid"/>
                </v:shape>
                <v:shape id="shape 6" o:spid="_x0000_s6" o:spt="1" type="#_x0000_t1" style="position:absolute;left:32758;top:40496;width:32403;height:8914;v-text-anchor:middle;visibility:visible;" filled="f" strokecolor="#000000" strokeweight="2.00pt">
                  <v:stroke dashstyle="solid"/>
                </v:shape>
                <v:shape id="shape 7" o:spid="_x0000_s7" o:spt="4" type="#_x0000_t4" style="position:absolute;left:38519;top:51571;width:20162;height:15121;v-text-anchor:middle;visibility:visible;" filled="f" strokecolor="#000000" strokeweight="2.00pt">
                  <v:stroke dashstyle="solid"/>
                </v:shape>
                <v:shape id="shape 8" o:spid="_x0000_s8" o:spt="1" type="#_x0000_t1" style="position:absolute;left:14036;top:68580;width:32403;height:5760;v-text-anchor:middle;visibility:visible;" filled="f" strokecolor="#000000" strokeweight="2.00pt">
                  <v:stroke dashstyle="solid"/>
                </v:shape>
                <v:shape id="shape 9" o:spid="_x0000_s9" o:spt="1" type="#_x0000_t1" style="position:absolute;left:50760;top:68580;width:32403;height:5760;v-text-anchor:middle;visibility:visible;" filled="f" strokecolor="#000000" strokeweight="2.00pt">
                  <v:stroke dashstyle="solid"/>
                </v:shape>
                <v:shape id="shape 10" o:spid="_x0000_s10" o:spt="1" type="#_x0000_t1" style="position:absolute;left:32758;top:78934;width:32403;height:6480;v-text-anchor:middle;visibility:visible;" filled="f" strokecolor="#000000" strokeweight="2.00pt">
                  <v:stroke dashstyle="solid"/>
                </v:shape>
                <v:shape id="shape 11" o:spid="_x0000_s11" o:spt="202" type="#_x0000_t202" style="position:absolute;left:58681;top:55892;width:9361;height:3077;visibility:visible;" filled="f"/>
                <v:shape id="shape 12" o:spid="_x0000_s12" o:spt="202" type="#_x0000_t202" style="position:absolute;left:29158;top:55892;width:9361;height:3077;visibility:visible;" filled="f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</w:t>
      </w:r>
      <w:r>
        <w:rPr>
          <w:rFonts w:ascii="Times New Roman" w:hAnsi="Times New Roman" w:cs="Times New Roman"/>
          <w:sz w:val="28"/>
          <w:szCs w:val="28"/>
        </w:rPr>
        <w:t xml:space="preserve">унок 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Схема определения фактического времени эвакуации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примере административного здания № 2 АО «Самотлорнефтегаз»,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расположенного по адресу: г. Нижневартовск, ул. Ленина, 4.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для реализации расчета по указанной модели был сделан </w:t>
      </w:r>
      <w:r>
        <w:rPr>
          <w:rFonts w:ascii="Times New Roman" w:hAnsi="Times New Roman" w:cs="Times New Roman"/>
          <w:sz w:val="28"/>
          <w:szCs w:val="28"/>
        </w:rPr>
        <w:t xml:space="preserve">исходя из следующих факторов: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Здание имеет четкую </w:t>
      </w:r>
      <w:r>
        <w:rPr>
          <w:rFonts w:ascii="Times New Roman" w:hAnsi="Times New Roman" w:cs="Times New Roman"/>
          <w:sz w:val="28"/>
          <w:szCs w:val="28"/>
        </w:rPr>
        <w:t xml:space="preserve">логистику</w:t>
      </w:r>
      <w:r>
        <w:rPr>
          <w:rFonts w:ascii="Times New Roman" w:hAnsi="Times New Roman" w:cs="Times New Roman"/>
          <w:sz w:val="28"/>
          <w:szCs w:val="28"/>
        </w:rPr>
        <w:t xml:space="preserve"> эвакуационных путей, которая представлена системой проходов, коридоров и лестниц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1"/>
        </w:numPr>
        <w:ind w:left="0"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</w:t>
      </w:r>
      <w:r>
        <w:rPr>
          <w:rFonts w:ascii="Times New Roman" w:hAnsi="Times New Roman" w:cs="Times New Roman"/>
          <w:sz w:val="28"/>
          <w:szCs w:val="28"/>
        </w:rPr>
        <w:t xml:space="preserve">юд</w:t>
      </w:r>
      <w:r>
        <w:rPr>
          <w:rFonts w:ascii="Times New Roman" w:hAnsi="Times New Roman" w:cs="Times New Roman"/>
          <w:sz w:val="28"/>
          <w:szCs w:val="28"/>
        </w:rPr>
        <w:t xml:space="preserve">и, находящиеся в здании,</w:t>
      </w:r>
      <w:r>
        <w:rPr>
          <w:rFonts w:ascii="Times New Roman" w:hAnsi="Times New Roman" w:cs="Times New Roman"/>
          <w:sz w:val="28"/>
          <w:szCs w:val="28"/>
        </w:rPr>
        <w:t xml:space="preserve"> при начале движения быстро формируют потоки.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left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подсчета времени рассмотрим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наиболее сложный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сценарий, при котором путь у эвакуирующих займет самое продолжительное время. За самую удаленную точку был взят кабинет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607, так как он находиться на последнем этаже, и имеет наибольшее расстояние от эвакуационных выходов</w:t>
      </w:r>
      <w:r>
        <w:rPr>
          <w:rFonts w:ascii="Times New Roman" w:hAnsi="Times New Roman" w:cs="Times New Roman"/>
          <w:bCs/>
          <w:sz w:val="28"/>
          <w:szCs w:val="28"/>
        </w:rPr>
        <w:t xml:space="preserve">, рис</w:t>
      </w:r>
      <w:r>
        <w:rPr>
          <w:rFonts w:ascii="Times New Roman" w:hAnsi="Times New Roman" w:cs="Times New Roman"/>
          <w:bCs/>
          <w:sz w:val="28"/>
          <w:szCs w:val="28"/>
        </w:rPr>
        <w:t xml:space="preserve">унок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344805</wp:posOffset>
                </wp:positionV>
                <wp:extent cx="155575" cy="210820"/>
                <wp:effectExtent l="0" t="0" r="0" b="0"/>
                <wp:wrapNone/>
                <wp:docPr id="5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55575" cy="210820"/>
                        </a:xfrm>
                        <a:custGeom>
                          <a:avLst>
                            <a:gd name="adj0" fmla="val 16200"/>
                            <a:gd name="adj1" fmla="val 5400"/>
                          </a:avLst>
                          <a:gdLst>
                            <a:gd name="gd0" fmla="val 65536"/>
                            <a:gd name="gd1" fmla="val adj0"/>
                            <a:gd name="gd2" fmla="val adj1"/>
                            <a:gd name="gd3" fmla="+- 21600 0 adj1"/>
                            <a:gd name="gd4" fmla="+- 10800 0 adj1"/>
                            <a:gd name="gd5" fmla="+- 21600 0 adj0"/>
                            <a:gd name="gd6" fmla="*/ gd5 gd4 10800"/>
                            <a:gd name="gd7" fmla="+- 21600 0 gd6"/>
                            <a:gd name="gd8" fmla="val 0"/>
                            <a:gd name="gd9" fmla="val gd1"/>
                            <a:gd name="gd10" fmla="val gd2"/>
                            <a:gd name="gd11" fmla="val gd1"/>
                            <a:gd name="gd12" fmla="val gd2"/>
                            <a:gd name="gd13" fmla="val 0"/>
                            <a:gd name="gd14" fmla="val gd3"/>
                            <a:gd name="gd15" fmla="val 0"/>
                            <a:gd name="gd16" fmla="val gd3"/>
                            <a:gd name="gd17" fmla="val gd1"/>
                            <a:gd name="gd18" fmla="val 21600"/>
                            <a:gd name="gd19" fmla="val gd1"/>
                            <a:gd name="gd20" fmla="val 10800"/>
                            <a:gd name="gd21" fmla="val 21600"/>
                            <a:gd name="gd22" fmla="*/ w gd2 21600"/>
                            <a:gd name="gd23" fmla="*/ h 0 21600"/>
                            <a:gd name="gd24" fmla="*/ w gd3 21600"/>
                            <a:gd name="gd25" fmla="*/ h gd7 21600"/>
                            <a:gd name="gd26" fmla="*/ w adj1 21600"/>
                            <a:gd name="gd27" fmla="*/ h adj0 21600"/>
                          </a:gdLst>
                          <a:ahLst>
                            <a:ahXY gdRefX="adj1" minX="0" maxX="10800" gdRefY="adj0" minY="0" maxY="21600">
                              <a:pos x="gd26" y="gd27"/>
                            </a:ahXY>
                          </a:ahLst>
                          <a:cxnLst/>
                          <a:rect l="gd22" t="gd23" r="gd24" b="gd25"/>
                          <a:pathLst>
                            <a:path w="21600" h="21600" fill="norm" stroke="1" extrusionOk="0">
                              <a:moveTo>
                                <a:pt x="gd8" y="gd9"/>
                              </a:moveTo>
                              <a:lnTo>
                                <a:pt x="gd10" y="gd11"/>
                              </a:lnTo>
                              <a:lnTo>
                                <a:pt x="gd12" y="gd13"/>
                              </a:lnTo>
                              <a:lnTo>
                                <a:pt x="gd14" y="gd15"/>
                              </a:lnTo>
                              <a:lnTo>
                                <a:pt x="gd16" y="gd17"/>
                              </a:lnTo>
                              <a:lnTo>
                                <a:pt x="gd18" y="gd19"/>
                              </a:lnTo>
                              <a:lnTo>
                                <a:pt x="gd20" y="gd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504D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3" o:spid="_x0000_s13" style="position:absolute;z-index:251658240;o:allowoverlap:true;o:allowincell:true;mso-position-horizontal-relative:text;margin-left:186.30pt;mso-position-horizontal:absolute;mso-position-vertical-relative:text;margin-top:27.15pt;mso-position-vertical:absolute;width:12.25pt;height:16.60pt;mso-wrap-distance-left:9.00pt;mso-wrap-distance-top:0.00pt;mso-wrap-distance-right:9.00pt;mso-wrap-distance-bottom:0.00pt;visibility:visible;" path="m0,75000l25000,75000l25000,0l75000,0l75000,75000l100000,75000l50000,100000xe" coordsize="100000,100000" fillcolor="#C0504D" strokecolor="#000000">
                <v:path textboxrect="25000,0,75000,87500"/>
              </v:shape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65782" cy="2010508"/>
                <wp:effectExtent l="0" t="0" r="0" b="0"/>
                <wp:docPr id="6" name="Рисунок 2" descr="план 6 этажа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план 6 этажа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098352" cy="2055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469.75pt;height:158.31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Cs/>
          <w:sz w:val="28"/>
          <w:szCs w:val="28"/>
        </w:rPr>
        <w:t xml:space="preserve">6</w:t>
      </w:r>
      <w:r>
        <w:rPr>
          <w:rFonts w:ascii="Times New Roman" w:hAnsi="Times New Roman" w:cs="Times New Roman"/>
          <w:bCs/>
          <w:sz w:val="28"/>
          <w:szCs w:val="28"/>
        </w:rPr>
        <w:t xml:space="preserve">. Местоположение контрольной точки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</w:t>
      </w:r>
      <w:r>
        <w:rPr>
          <w:rFonts w:ascii="Times New Roman" w:hAnsi="Times New Roman" w:cs="Times New Roman"/>
          <w:sz w:val="28"/>
          <w:szCs w:val="28"/>
        </w:rPr>
        <w:t xml:space="preserve">ые параметры элементов сценария</w:t>
      </w:r>
      <w:r>
        <w:rPr>
          <w:rFonts w:ascii="Times New Roman" w:hAnsi="Times New Roman" w:cs="Times New Roman"/>
          <w:sz w:val="28"/>
          <w:szCs w:val="28"/>
        </w:rPr>
        <w:t xml:space="preserve">: количество эвакуационных путей </w:t>
      </w:r>
      <w:r>
        <w:rPr>
          <w:rFonts w:ascii="Times New Roman" w:hAnsi="Times New Roman" w:cs="Times New Roman"/>
          <w:sz w:val="28"/>
          <w:szCs w:val="28"/>
        </w:rPr>
        <w:t xml:space="preserve">– 3, эвакуационны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выход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3, </w:t>
      </w:r>
      <w:r>
        <w:rPr>
          <w:rFonts w:ascii="Times New Roman" w:hAnsi="Times New Roman" w:cs="Times New Roman"/>
          <w:sz w:val="28"/>
          <w:szCs w:val="28"/>
        </w:rPr>
        <w:t xml:space="preserve">распределение людей по этажам </w:t>
      </w:r>
      <w:r>
        <w:rPr>
          <w:rFonts w:ascii="Times New Roman" w:hAnsi="Times New Roman" w:cs="Times New Roman"/>
          <w:sz w:val="28"/>
          <w:szCs w:val="28"/>
        </w:rPr>
        <w:t xml:space="preserve">представлен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в таблице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техническим регламентом о требованиях пожарной безопасности установим, распределение количества работников на эвакуационные выходы по среднему значению численности людей, находящихся на этаже, на каждый из трех эвакуационных выходов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]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Погрешность полученных значений составляет 2 чел/этаж.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людей по этажам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014" w:type="dxa"/>
        <w:jc w:val="center"/>
        <w:tblLook w:val="04A0" w:firstRow="1" w:lastRow="0" w:firstColumn="1" w:lastColumn="0" w:noHBand="0" w:noVBand="1"/>
      </w:tblPr>
      <w:tblGrid>
        <w:gridCol w:w="1784"/>
        <w:gridCol w:w="1840"/>
        <w:gridCol w:w="2688"/>
        <w:gridCol w:w="2702"/>
      </w:tblGrid>
      <w:tr>
        <w:tblPrEx/>
        <w:trPr>
          <w:jc w:val="center"/>
          <w:trHeight w:val="45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Общее количество людей на этаже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Количество людей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на каждый эвакуационный выход,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rPr/>
                <m:t>N</m:t>
              </m:r>
            </m:oMath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чел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людей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нижнего этажа образующих слияние, чел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Этаж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06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71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  <w:tr>
        <w:tblPrEx/>
        <w:trPr>
          <w:jc w:val="center"/>
          <w:trHeight w:val="30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84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ИТОГО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840" w:type="dxa"/>
            <w:vAlign w:val="center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352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8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115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7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709"/>
        <w:jc w:val="both"/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расчете весь путь движения людского потока подразделяется на участки </w:t>
      </w:r>
      <w:r>
        <w:rPr>
          <w:rFonts w:ascii="Times New Roman" w:hAnsi="Times New Roman" w:cs="Times New Roman"/>
          <w:sz w:val="28"/>
          <w:szCs w:val="28"/>
        </w:rPr>
        <w:t xml:space="preserve">такие как </w:t>
      </w:r>
      <w:r>
        <w:rPr>
          <w:rFonts w:ascii="Times New Roman" w:hAnsi="Times New Roman" w:cs="Times New Roman"/>
          <w:sz w:val="28"/>
          <w:szCs w:val="28"/>
        </w:rPr>
        <w:t xml:space="preserve">коридор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, лестничны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марши и дверные проемы с</w:t>
      </w:r>
      <w:r>
        <w:rPr>
          <w:rFonts w:ascii="Times New Roman" w:hAnsi="Times New Roman" w:cs="Times New Roman"/>
          <w:sz w:val="28"/>
          <w:szCs w:val="28"/>
        </w:rPr>
        <w:t xml:space="preserve"> длиной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l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шириной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δ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, рис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унок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23405" cy="1693984"/>
                <wp:effectExtent l="0" t="0" r="0" b="0"/>
                <wp:docPr id="7" name="Рисунок 8" descr="путь 60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путь 607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rcRect l="660" t="27143" r="2411" b="22859"/>
                        <a:stretch/>
                      </pic:blipFill>
                      <pic:spPr bwMode="auto">
                        <a:xfrm>
                          <a:off x="0" y="0"/>
                          <a:ext cx="4231229" cy="1738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24.68pt;height:133.38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bCs/>
          <w:sz w:val="28"/>
          <w:szCs w:val="28"/>
        </w:rPr>
        <w:t xml:space="preserve">7</w:t>
      </w:r>
      <w:r>
        <w:rPr>
          <w:rFonts w:ascii="Times New Roman" w:hAnsi="Times New Roman" w:cs="Times New Roman"/>
          <w:bCs/>
          <w:sz w:val="28"/>
          <w:szCs w:val="28"/>
        </w:rPr>
        <w:t xml:space="preserve">. Участки пути из контрольной точки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Для начала вычислим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интенсивность движения для каждого участка пути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который преодолеет первый людской поток, то есть от кабинета №607 до 5 этажа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(встреча с другим людским потоком). Проделан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ный путь обозначен на рисунке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4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Интенсивность движения людского потока 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,</w:t>
      </w:r>
      <w:r>
        <w:rPr>
          <w:rFonts w:ascii="Times New Roman" w:hAnsi="Times New Roman" w:cs="Times New Roman" w:eastAsiaTheme="minorEastAsia"/>
          <w:b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посчитанная согласно формуле П2.4 Методики, представлена в таблице 2.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Таблица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2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интенсивности движения людского потока </w:t>
      </w:r>
      <w:r>
        <w:rPr>
          <w:rFonts w:ascii="Times New Roman" w:hAnsi="Times New Roman" w:cs="Times New Roman"/>
          <w:sz w:val="28"/>
          <w:szCs w:val="28"/>
        </w:rPr>
        <w:t xml:space="preserve">с последнего этажа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tbl>
      <w:tblPr>
        <w:tblStyle w:val="710"/>
        <w:tblW w:w="9591" w:type="dxa"/>
        <w:jc w:val="right"/>
        <w:tblLook w:val="04A0" w:firstRow="1" w:lastRow="0" w:firstColumn="1" w:lastColumn="0" w:noHBand="0" w:noVBand="1"/>
      </w:tblPr>
      <w:tblGrid>
        <w:gridCol w:w="1131"/>
        <w:gridCol w:w="1853"/>
        <w:gridCol w:w="1683"/>
        <w:gridCol w:w="1148"/>
        <w:gridCol w:w="1888"/>
        <w:gridCol w:w="1888"/>
      </w:tblGrid>
      <w:tr>
        <w:tblPrEx/>
        <w:trPr>
          <w:jc w:val="right"/>
        </w:trPr>
        <w:tc>
          <w:tcPr>
            <w:tcW w:w="15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Участ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 пути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Вид поверхности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Ширина предыдущего участка,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i-1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14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Ширина участка пути,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Интенсивност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 движения 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предыдущем участке,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rPr>
                      <m:sty m:val="bi"/>
                    </m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i-1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м/мин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Интенсивност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 движения 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на нынешнем участке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rPr>
                      <m:sty m:val="bi"/>
                    </m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м/мин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15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 участок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14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5,084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15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 участок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14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5,084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3,934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15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участок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14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3,934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3,707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15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 участок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14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3,707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5,355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15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6 участок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43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14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5,355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4,191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При слиянии людских потоков происходит сложный динамический процесс, одни люди успевают преодолеть предполагаемую точку слияния, когда еще путь для эвакуации остается свободным, остальные же, напротив, образуют общий поток с другими эвакуирующимися.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Для определения количества людей, оставшихся для слияния со следующим людским потоком, должно выполняться неравенство: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1 - </w:t>
      </w:r>
      <m:oMath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N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верх.эт.</m:t>
            </m:r>
          </m:sub>
        </m:sSub>
        <m:r>
          <w:rPr>
            <w:rFonts w:ascii="Cambria Math" w:hAnsi="Cambria Math" w:cs="Times New Roman" w:eastAsiaTheme="minorEastAsia"/>
            <w:sz w:val="28"/>
            <w:szCs w:val="28"/>
          </w:rPr>
          <m:rPr/>
          <m:t>&gt; </m:t>
        </m:r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N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ниж.эт</m:t>
            </m:r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>
                <m:sty m:val="p"/>
              </m:rPr>
              <m:t>.</m:t>
            </m:r>
          </m:sub>
        </m:sSub>
      </m:oMath>
      <w:r/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N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верх.эт.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– количество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людей,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эвакуирующихся с верхнего этажа;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/>
      <m:oMath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N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ниж.эт</m:t>
            </m:r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>
                <m:sty m:val="p"/>
              </m:rPr>
              <m:t>.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- количество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людей,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эвакуирующихся с нижнего этажа.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Если неравенство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1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не выполняется, то 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этому моменту времени из общего числа людей, бывших на участке в момент слияния, останется (</w:t>
      </w:r>
      <m:oMath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N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верх.эт.</m:t>
            </m:r>
          </m:sub>
        </m:sSub>
        <m:r>
          <w:rPr>
            <w:rFonts w:ascii="Cambria Math" w:hAnsi="Cambria Math" w:cs="Times New Roman" w:eastAsiaTheme="minorEastAsia"/>
            <w:sz w:val="28"/>
            <w:szCs w:val="28"/>
          </w:rPr>
          <m:rPr/>
          <m:t>- </m:t>
        </m:r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N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/>
              <m:t>ниж.эт</m:t>
            </m:r>
            <m:r>
              <w:rPr>
                <w:rFonts w:ascii="Cambria Math" w:hAnsi="Cambria Math" w:cs="Times New Roman" w:eastAsiaTheme="minorEastAsia"/>
                <w:sz w:val="28"/>
                <w:szCs w:val="28"/>
              </w:rPr>
              <m:rPr>
                <m:sty m:val="p"/>
              </m:rPr>
              <m:t>.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) людей.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З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начени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представлен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ы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в таблице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1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Так получается, что п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ервый людской поток с шестого этажа (зеленая стрелочка) проделал путь до 5 этажа, где встречается со вторым людским потоком эвакуирующихся (голубой цвет), образую новый людской поток (красный цвет), рисунок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8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Для работников 6 этажа слияние произойдет после 6 участка, а для работников 5 этажа, только после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2, на 3 участке пути (отмеченный розовым цветом на рисунке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6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)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, потому что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им нужно будет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двигаться в одном потоке по лестнице вниз на 4 этаж, где снова произойдет слияние уже с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 следующей группой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эвакуирующи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хся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работник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ов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и т.д.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131967" cy="1676334"/>
                <wp:effectExtent l="0" t="0" r="0" b="0"/>
                <wp:docPr id="8" name="Рисунок 7" descr="5 этаж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5 этаж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rcRect l="0" t="9207" r="0" b="23784"/>
                        <a:stretch/>
                      </pic:blipFill>
                      <pic:spPr bwMode="auto">
                        <a:xfrm>
                          <a:off x="0" y="0"/>
                          <a:ext cx="3179031" cy="170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246.61pt;height:131.99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Рисунок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8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Слияние людских потоков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Далее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 таблице 3 приведены расчетные значения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интенсивности движения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людских потоков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на оставшихся участках пути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right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Таблица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3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center"/>
        <w:spacing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Интенсивности движения людск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их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поток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ов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tbl>
      <w:tblPr>
        <w:tblStyle w:val="710"/>
        <w:tblW w:w="9499" w:type="dxa"/>
        <w:jc w:val="right"/>
        <w:tblLook w:val="04A0" w:firstRow="1" w:lastRow="0" w:firstColumn="1" w:lastColumn="0" w:noHBand="0" w:noVBand="1"/>
      </w:tblPr>
      <w:tblGrid>
        <w:gridCol w:w="1149"/>
        <w:gridCol w:w="1853"/>
        <w:gridCol w:w="1683"/>
        <w:gridCol w:w="1148"/>
        <w:gridCol w:w="1888"/>
        <w:gridCol w:w="1888"/>
      </w:tblGrid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Участки пути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Вид поверхности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Ширина предыдущего участка пути,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i-1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Ширина участка пути,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δ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Интенсивност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 движения на предыдущем участке,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rPr>
                      <m:sty m:val="bi"/>
                    </m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i-1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м/мин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Интенсивност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ь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 движения людского потока,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rPr>
                      <m:sty m:val="bi"/>
                    </m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rPr>
                      <m:sty m:val="bi"/>
                    </m:rPr>
                    <m:t>i</m:t>
                  </m:r>
                </m:sub>
              </m:sSub>
            </m:oMath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, м/мин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Участок слияния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b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5,045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gridSpan w:val="6"/>
            <w:tcW w:w="949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Участки пути людских потоков с 5 и 6 этажей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5,045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9,508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9,508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13,734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/>
            <w:bookmarkStart w:id="0" w:name="OLE_LINK1"/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bookmarkEnd w:id="0"/>
            <w:r/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13,734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10,748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10,748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13,734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gridSpan w:val="6"/>
            <w:tcW w:w="949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Участки пути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 людских потоков с 4, 5 и 6 этажей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13,734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25,883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25,883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37,387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38,387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29,259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Участок слияния 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31,231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gridSpan w:val="6"/>
            <w:tcW w:w="949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Участки пути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 людских потоков с 3 по 6 этажей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31,231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58,858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58,858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85,018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85,018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66,536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66,536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85,018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gridSpan w:val="6"/>
            <w:tcW w:w="949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Участки пути людских потоков со 2 этажа и выше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85,018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160,226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160,226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231,438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Лестница вниз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0,9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231,438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181,125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gridSpan w:val="6"/>
            <w:tcW w:w="949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Участки пути на 1 этаже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181,125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109,628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109,628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50,803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Дверной проем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50,803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115,719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1,8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4,05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115,719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51,431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Дверной проем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4,05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51,431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130,184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Горизонтальная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4,05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130,184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51,431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  <w:tr>
        <w:tblPrEx/>
        <w:trPr>
          <w:jc w:val="right"/>
        </w:trPr>
        <w:tc>
          <w:tcPr>
            <w:tcW w:w="742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.5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5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Дверной проем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683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4,05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36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1,6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969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51,431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  <w:tc>
          <w:tcPr>
            <w:tcW w:w="1888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  <w:t xml:space="preserve">130,184</w:t>
            </w:r>
            <w:r>
              <w:rPr>
                <w:rFonts w:ascii="Times New Roman" w:hAnsi="Times New Roman" w:cs="Times New Roman" w:eastAsiaTheme="minorEastAsia"/>
                <w:sz w:val="24"/>
                <w:szCs w:val="24"/>
              </w:rPr>
            </w:r>
          </w:p>
        </w:tc>
      </w:tr>
    </w:tbl>
    <w:p>
      <w:pPr>
        <w:ind w:firstLine="709"/>
        <w:jc w:val="both"/>
        <w:spacing w:before="240" w:after="0" w:line="360" w:lineRule="auto"/>
        <w:rPr>
          <w:rFonts w:ascii="Times New Roman" w:hAnsi="Times New Roman" w:cs="Times New Roman" w:eastAsiaTheme="minorEastAsia"/>
          <w:sz w:val="28"/>
          <w:szCs w:val="28"/>
        </w:rPr>
      </w:pPr>
      <w:r>
        <w:rPr>
          <w:rFonts w:ascii="Times New Roman" w:hAnsi="Times New Roman" w:cs="Times New Roman" w:eastAsiaTheme="minorEastAsia"/>
          <w:sz w:val="28"/>
          <w:szCs w:val="28"/>
        </w:rPr>
        <w:t xml:space="preserve">В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ремя движения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на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участк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ах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пути </w:t>
      </w:r>
      <m:oMath>
        <m:sSub>
          <m:sSubPr>
            <m:ctrlPr>
              <w:rPr>
                <w:rFonts w:ascii="Cambria Math" w:hAnsi="Cambria Math" w:cs="Times New Roman" w:eastAsiaTheme="minorEastAsia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 w:eastAsiaTheme="minorEastAsia"/>
                <w:sz w:val="28"/>
                <w:szCs w:val="28"/>
                <w:lang w:val="en-US"/>
              </w:rPr>
              <m:rPr/>
              <m:t>t</m:t>
            </m:r>
          </m:e>
          <m:sub>
            <m:r>
              <w:rPr>
                <w:rFonts w:ascii="Cambria Math" w:hAnsi="Cambria Math" w:cs="Times New Roman" w:eastAsiaTheme="minorEastAsia"/>
                <w:sz w:val="28"/>
                <w:szCs w:val="28"/>
                <w:lang w:val="en-US"/>
              </w:rPr>
              <m:rPr/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, мин,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р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ассчит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ыва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ется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 в зависимости от соотношения значении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i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max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, принимаемое по Методике.</w:t>
      </w:r>
      <w:r>
        <w:rPr>
          <w:rFonts w:ascii="Times New Roman" w:hAnsi="Times New Roman" w:cs="Times New Roman" w:eastAsiaTheme="minorEastAsia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rPr/>
          <m:t>≥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rPr/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max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sz w:val="28"/>
          <w:szCs w:val="28"/>
        </w:rPr>
        <w:t xml:space="preserve">интенсивность и скорость движения людского потока </w:t>
      </w:r>
      <w:r>
        <w:rPr>
          <w:rFonts w:ascii="Times New Roman" w:hAnsi="Times New Roman" w:cs="Times New Roman"/>
          <w:sz w:val="28"/>
          <w:szCs w:val="28"/>
        </w:rPr>
        <w:t xml:space="preserve">по участку </w:t>
      </w:r>
      <m:oMath>
        <m:r>
          <w:rPr>
            <w:rFonts w:ascii="Cambria Math" w:hAnsi="Cambria Math" w:cs="Times New Roman" w:eastAsiaTheme="minorEastAsia"/>
            <w:sz w:val="28"/>
            <w:szCs w:val="28"/>
            <w:lang w:val="en-US"/>
          </w:rPr>
          <m:rPr/>
          <m:t>i</m:t>
        </m:r>
      </m:oMath>
      <w:r>
        <w:rPr>
          <w:rFonts w:ascii="Times New Roman" w:hAnsi="Times New Roman" w:cs="Times New Roman"/>
          <w:sz w:val="28"/>
          <w:szCs w:val="28"/>
        </w:rPr>
        <w:t xml:space="preserve"> определяют по таблице П2.1 </w:t>
      </w:r>
      <w:r>
        <w:rPr>
          <w:rFonts w:ascii="Times New Roman" w:hAnsi="Times New Roman" w:cs="Times New Roman"/>
          <w:sz w:val="28"/>
          <w:szCs w:val="28"/>
        </w:rPr>
        <w:t xml:space="preserve">Методики</w:t>
      </w:r>
      <w:r>
        <w:rPr>
          <w:rFonts w:ascii="Times New Roman" w:hAnsi="Times New Roman" w:cs="Times New Roman"/>
          <w:sz w:val="28"/>
          <w:szCs w:val="28"/>
        </w:rPr>
        <w:t xml:space="preserve"> [7]</w:t>
      </w:r>
      <w:r>
        <w:rPr>
          <w:rFonts w:ascii="Times New Roman" w:hAnsi="Times New Roman" w:cs="Times New Roman"/>
          <w:sz w:val="28"/>
          <w:szCs w:val="28"/>
        </w:rPr>
        <w:t xml:space="preserve"> при значении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rPr/>
          <m:t>D</m:t>
        </m:r>
        <m:r>
          <w:rPr>
            <w:rFonts w:ascii="Cambria Math" w:hAnsi="Cambria Math" w:cs="Times New Roman"/>
            <w:sz w:val="28"/>
            <w:szCs w:val="28"/>
          </w:rPr>
          <m:rPr/>
          <m:t> </m:t>
        </m:r>
        <m:r>
          <w:rPr>
            <w:rFonts w:ascii="Cambria Math" w:hAnsi="Cambria Math" w:cs="Times New Roman"/>
            <w:sz w:val="28"/>
            <w:szCs w:val="28"/>
          </w:rPr>
          <m:rPr>
            <m:sty m:val="p"/>
          </m:rPr>
          <m:t>= 0,9 </m:t>
        </m:r>
      </m:oMath>
      <w:r>
        <w:rPr>
          <w:rFonts w:ascii="Times New Roman" w:hAnsi="Times New Roman" w:cs="Times New Roman"/>
          <w:sz w:val="28"/>
          <w:szCs w:val="28"/>
        </w:rPr>
        <w:t xml:space="preserve"> и более. При этом следует учитывать время задержки движения людей из-за образовавшегося их скопления</w: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Расчётное время эвакуации по участку </w:t>
      </w:r>
      <m:oMath>
        <m:r>
          <w:rPr>
            <w:rFonts w:ascii="Cambria Math" w:hAnsi="Cambria Math" w:cs="Times New Roman"/>
            <w:sz w:val="28"/>
            <w:szCs w:val="28"/>
          </w:rPr>
          <m:rPr/>
          <m:t>i</m:t>
        </m:r>
      </m:oMath>
      <w:r>
        <w:rPr>
          <w:rFonts w:ascii="Times New Roman" w:hAnsi="Times New Roman" w:cs="Times New Roman"/>
          <w:sz w:val="28"/>
          <w:szCs w:val="28"/>
        </w:rPr>
        <w:t xml:space="preserve">, в конце которого на границе с участком </w:t>
      </w:r>
      <m:oMath>
        <m:r>
          <w:rPr>
            <w:rFonts w:ascii="Cambria Math" w:hAnsi="Cambria Math" w:cs="Times New Roman"/>
            <w:sz w:val="28"/>
            <w:szCs w:val="28"/>
          </w:rPr>
          <m:rPr/>
          <m:t>(i+1)</m:t>
        </m:r>
      </m:oMath>
      <w:r>
        <w:rPr>
          <w:rFonts w:ascii="Times New Roman" w:hAnsi="Times New Roman" w:cs="Times New Roman"/>
          <w:sz w:val="28"/>
          <w:szCs w:val="28"/>
        </w:rPr>
        <w:t xml:space="preserve"> образовалось скопление людей равно времени существования скопления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rPr/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rPr/>
              <m:t>СК</m:t>
            </m:r>
          </m:sub>
        </m:sSub>
      </m:oMath>
      <w:r>
        <w:rPr>
          <w:rFonts w:ascii="Times New Roman" w:hAnsi="Times New Roman" w:cs="Times New Roman" w:eastAsiaTheme="minor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[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получения конечного результата п</w:t>
      </w:r>
      <w:r>
        <w:rPr>
          <w:rFonts w:ascii="Times New Roman" w:hAnsi="Times New Roman" w:cs="Times New Roman"/>
          <w:sz w:val="28"/>
          <w:szCs w:val="28"/>
        </w:rPr>
        <w:t xml:space="preserve">о формуле </w:t>
      </w:r>
      <w:r>
        <w:rPr>
          <w:rFonts w:ascii="Times New Roman" w:hAnsi="Times New Roman" w:cs="Times New Roman"/>
          <w:sz w:val="28"/>
          <w:szCs w:val="28"/>
        </w:rPr>
        <w:t xml:space="preserve">П2.1 Методики</w:t>
      </w:r>
      <w:r>
        <w:rPr>
          <w:rFonts w:ascii="Times New Roman" w:hAnsi="Times New Roman" w:cs="Times New Roman"/>
          <w:sz w:val="28"/>
          <w:szCs w:val="28"/>
        </w:rPr>
        <w:t xml:space="preserve"> [7]</w:t>
      </w:r>
      <w:r>
        <w:rPr>
          <w:rFonts w:ascii="Times New Roman" w:hAnsi="Times New Roman" w:cs="Times New Roman"/>
          <w:sz w:val="28"/>
          <w:szCs w:val="28"/>
        </w:rPr>
        <w:t xml:space="preserve"> рассчит</w:t>
      </w:r>
      <w:r>
        <w:rPr>
          <w:rFonts w:ascii="Times New Roman" w:hAnsi="Times New Roman" w:cs="Times New Roman"/>
          <w:sz w:val="28"/>
          <w:szCs w:val="28"/>
        </w:rPr>
        <w:t xml:space="preserve">ываем</w:t>
      </w:r>
      <w:r>
        <w:rPr>
          <w:rFonts w:ascii="Times New Roman" w:hAnsi="Times New Roman" w:cs="Times New Roman"/>
          <w:sz w:val="28"/>
          <w:szCs w:val="28"/>
        </w:rPr>
        <w:t xml:space="preserve"> общее время эвакуации людей, сложив </w:t>
      </w: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 xml:space="preserve">время следования на каждом из участков пути и времени скопления людского потока,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получаем </w:t>
      </w:r>
      <w:r>
        <w:rPr>
          <w:rFonts w:ascii="Times New Roman" w:hAnsi="Times New Roman" w:cs="Times New Roman"/>
          <w:sz w:val="28"/>
          <w:szCs w:val="28"/>
        </w:rPr>
        <w:t xml:space="preserve">время эвакуации людей не </w:t>
      </w:r>
      <w:r>
        <w:rPr>
          <w:rFonts w:ascii="Times New Roman" w:hAnsi="Times New Roman" w:cs="Times New Roman"/>
          <w:sz w:val="28"/>
          <w:szCs w:val="28"/>
        </w:rPr>
        <w:t xml:space="preserve">должно </w:t>
      </w:r>
      <w:r>
        <w:rPr>
          <w:rFonts w:ascii="Times New Roman" w:hAnsi="Times New Roman" w:cs="Times New Roman"/>
          <w:sz w:val="28"/>
          <w:szCs w:val="28"/>
        </w:rPr>
        <w:t xml:space="preserve">превышать 5,032 минут.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</w:t>
      </w:r>
      <w:r>
        <w:rPr>
          <w:rFonts w:ascii="Times New Roman" w:hAnsi="Times New Roman" w:cs="Times New Roman"/>
          <w:sz w:val="28"/>
          <w:szCs w:val="28"/>
        </w:rPr>
        <w:t xml:space="preserve"> данным проведени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тренировок по эвакуации работников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здани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АО «Самотлорнефтегаз»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период с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2 по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ля определения </w:t>
      </w:r>
      <w:r>
        <w:rPr>
          <w:rFonts w:ascii="Times New Roman" w:hAnsi="Times New Roman" w:cs="Times New Roman"/>
          <w:sz w:val="28"/>
          <w:szCs w:val="28"/>
        </w:rPr>
        <w:t xml:space="preserve">условного </w:t>
      </w:r>
      <w:r>
        <w:rPr>
          <w:rFonts w:ascii="Times New Roman" w:hAnsi="Times New Roman" w:cs="Times New Roman"/>
          <w:sz w:val="28"/>
          <w:szCs w:val="28"/>
        </w:rPr>
        <w:t xml:space="preserve">влияния отравляющих веществ </w:t>
      </w:r>
      <w:r>
        <w:rPr>
          <w:rFonts w:ascii="Times New Roman" w:hAnsi="Times New Roman" w:cs="Times New Roman"/>
          <w:sz w:val="28"/>
          <w:szCs w:val="28"/>
        </w:rPr>
        <w:t xml:space="preserve">на здоровье работников</w:t>
      </w:r>
      <w:r>
        <w:rPr>
          <w:rFonts w:ascii="Times New Roman" w:hAnsi="Times New Roman" w:cs="Times New Roman"/>
          <w:sz w:val="28"/>
          <w:szCs w:val="28"/>
        </w:rPr>
        <w:t xml:space="preserve"> во время эвакуации из условно горящего здания</w:t>
      </w:r>
      <w:r>
        <w:rPr>
          <w:rFonts w:ascii="Times New Roman" w:hAnsi="Times New Roman" w:cs="Times New Roman"/>
          <w:sz w:val="28"/>
          <w:szCs w:val="28"/>
        </w:rPr>
        <w:t xml:space="preserve">, рис.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Безопасное время эвакуации до наступления критической концентрации газообразного токсичного продукта горения угарного газа (СО) было рассчитано по формуле П6.23 Методики</w:t>
      </w:r>
      <w:r>
        <w:rPr>
          <w:rFonts w:ascii="Times New Roman" w:hAnsi="Times New Roman" w:cs="Times New Roman"/>
          <w:sz w:val="28"/>
          <w:szCs w:val="28"/>
        </w:rPr>
        <w:t xml:space="preserve"> [7]</w:t>
      </w:r>
      <w:r>
        <w:rPr>
          <w:rFonts w:ascii="Times New Roman" w:hAnsi="Times New Roman" w:cs="Times New Roman"/>
          <w:sz w:val="28"/>
          <w:szCs w:val="28"/>
        </w:rPr>
        <w:t xml:space="preserve">, и равно 5,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81</w:t>
      </w:r>
      <w:r>
        <w:rPr>
          <w:rFonts w:ascii="Times New Roman" w:hAnsi="Times New Roman" w:cs="Times New Roman"/>
          <w:sz w:val="28"/>
          <w:szCs w:val="28"/>
        </w:rPr>
        <w:t xml:space="preserve"> мин.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66643" cy="2537460"/>
            <wp:effectExtent l="0" t="0" r="0" b="0"/>
            <wp:docPr id="9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 Зависимость предполагаемого воздействия отравляющих веществ от фактического времени эвакуации работников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можно наблюдать зависимость фактического времени эвакуации работников по архивным данным с расчетным временем эвакуации из здания и временем до наступления критической концентрации угарного газа.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Мы видим</w:t>
      </w:r>
      <w:r>
        <w:rPr>
          <w:rFonts w:ascii="Times New Roman" w:hAnsi="Times New Roman" w:cs="Times New Roman"/>
          <w:sz w:val="28"/>
          <w:szCs w:val="28"/>
        </w:rPr>
        <w:t xml:space="preserve"> улучшени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показателя времени эвакуации </w:t>
      </w:r>
      <w:r>
        <w:rPr>
          <w:rFonts w:ascii="Times New Roman" w:hAnsi="Times New Roman" w:cs="Times New Roman"/>
          <w:sz w:val="28"/>
          <w:szCs w:val="28"/>
        </w:rPr>
        <w:t xml:space="preserve">работников за рассматриваемый период, а соответственно </w:t>
      </w:r>
      <w:r>
        <w:rPr>
          <w:rFonts w:ascii="Times New Roman" w:hAnsi="Times New Roman" w:cs="Times New Roman"/>
          <w:sz w:val="28"/>
          <w:szCs w:val="28"/>
        </w:rPr>
        <w:t xml:space="preserve">снижение рисков </w:t>
      </w:r>
      <w:r>
        <w:rPr>
          <w:rFonts w:ascii="Times New Roman" w:hAnsi="Times New Roman" w:cs="Times New Roman"/>
          <w:sz w:val="28"/>
          <w:szCs w:val="28"/>
        </w:rPr>
        <w:t xml:space="preserve">негативно</w:t>
      </w:r>
      <w:r>
        <w:rPr>
          <w:rFonts w:ascii="Times New Roman" w:hAnsi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cs="Times New Roman"/>
          <w:sz w:val="28"/>
          <w:szCs w:val="28"/>
        </w:rPr>
        <w:t xml:space="preserve"> воздействи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токсичных отравляющих веществ.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решения третьего вопроса, поставленного нами в начале статьи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мы изучили </w:t>
      </w:r>
      <w:r>
        <w:rPr>
          <w:rFonts w:ascii="Times New Roman" w:hAnsi="Times New Roman" w:cs="Times New Roman"/>
          <w:sz w:val="28"/>
          <w:szCs w:val="28"/>
        </w:rPr>
        <w:t xml:space="preserve">текущее состояние обеспеченности работников,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работающих в здании № 2 АО «Самотлорнефтегаз» </w:t>
      </w:r>
      <w:r>
        <w:rPr>
          <w:rFonts w:ascii="Times New Roman" w:hAnsi="Times New Roman" w:cs="Times New Roman"/>
          <w:sz w:val="28"/>
          <w:szCs w:val="28"/>
        </w:rPr>
        <w:t xml:space="preserve">средствами индивидуальной защиты органов дыхания.</w:t>
      </w:r>
      <w:r>
        <w:rPr>
          <w:rFonts w:ascii="Times New Roman" w:hAnsi="Times New Roman" w:cs="Times New Roman"/>
          <w:sz w:val="28"/>
          <w:szCs w:val="28"/>
        </w:rPr>
        <w:t xml:space="preserve"> В рассматриваемом нами здании ежедневно находится 352 человека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которые на 100 % обеспечены СИЗ органов дыхания.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этом, и</w:t>
      </w:r>
      <w:r>
        <w:rPr>
          <w:rFonts w:ascii="Times New Roman" w:hAnsi="Times New Roman" w:cs="Times New Roman"/>
          <w:sz w:val="28"/>
          <w:szCs w:val="28"/>
        </w:rPr>
        <w:t xml:space="preserve">зучив нормативно-правовую литературу, мы пришли к выводу, что обязательного требования по обеспечению всех работников организации СИЗ</w:t>
      </w:r>
      <w:r>
        <w:rPr>
          <w:rFonts w:ascii="Times New Roman" w:hAnsi="Times New Roman" w:cs="Times New Roman"/>
          <w:sz w:val="28"/>
          <w:szCs w:val="28"/>
        </w:rPr>
        <w:t xml:space="preserve"> органов дыхания </w:t>
      </w:r>
      <w:r>
        <w:rPr>
          <w:rFonts w:ascii="Times New Roman" w:hAnsi="Times New Roman" w:cs="Times New Roman"/>
          <w:sz w:val="28"/>
          <w:szCs w:val="28"/>
        </w:rPr>
        <w:t xml:space="preserve">не имеется. Таким образом, данный вопрос будет </w:t>
      </w:r>
      <w:r>
        <w:rPr>
          <w:rFonts w:ascii="Times New Roman" w:hAnsi="Times New Roman" w:cs="Times New Roman"/>
          <w:sz w:val="28"/>
          <w:szCs w:val="28"/>
        </w:rPr>
        <w:t xml:space="preserve">относиться</w:t>
      </w:r>
      <w:r>
        <w:rPr>
          <w:rFonts w:ascii="Times New Roman" w:hAnsi="Times New Roman" w:cs="Times New Roman"/>
          <w:sz w:val="28"/>
          <w:szCs w:val="28"/>
        </w:rPr>
        <w:t xml:space="preserve"> к рекомендуемы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, а не обязательным.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аиболь</w:t>
      </w:r>
      <w:r>
        <w:rPr>
          <w:rFonts w:ascii="Times New Roman" w:hAnsi="Times New Roman" w:cs="Times New Roman"/>
          <w:sz w:val="28"/>
          <w:szCs w:val="28"/>
        </w:rPr>
        <w:t xml:space="preserve">ше</w:t>
      </w:r>
      <w:r>
        <w:rPr>
          <w:rFonts w:ascii="Times New Roman" w:hAnsi="Times New Roman" w:cs="Times New Roman"/>
          <w:sz w:val="28"/>
          <w:szCs w:val="28"/>
        </w:rPr>
        <w:t xml:space="preserve">е количество работников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подлежащих эвакуации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административного здания № 2 АО «Самотлорнефтегаз» </w:t>
      </w:r>
      <w:r>
        <w:rPr>
          <w:rFonts w:ascii="Times New Roman" w:hAnsi="Times New Roman" w:cs="Times New Roman"/>
          <w:sz w:val="28"/>
          <w:szCs w:val="28"/>
        </w:rPr>
        <w:t xml:space="preserve">находятся на</w:t>
      </w:r>
      <w:r>
        <w:rPr>
          <w:rFonts w:ascii="Times New Roman" w:hAnsi="Times New Roman" w:cs="Times New Roman"/>
          <w:sz w:val="28"/>
          <w:szCs w:val="28"/>
        </w:rPr>
        <w:t xml:space="preserve"> 5 этаж</w:t>
      </w:r>
      <w:r>
        <w:rPr>
          <w:rFonts w:ascii="Times New Roman" w:hAnsi="Times New Roman" w:cs="Times New Roman"/>
          <w:sz w:val="28"/>
          <w:szCs w:val="28"/>
        </w:rPr>
        <w:t xml:space="preserve">е и составляет </w:t>
      </w:r>
      <w:r>
        <w:rPr>
          <w:rFonts w:ascii="Times New Roman" w:hAnsi="Times New Roman" w:cs="Times New Roman"/>
          <w:sz w:val="28"/>
          <w:szCs w:val="28"/>
        </w:rPr>
        <w:t xml:space="preserve">79 человек,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22,44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 xml:space="preserve">Согласно проведенных расчетов, о</w:t>
      </w:r>
      <w:r>
        <w:rPr>
          <w:rFonts w:ascii="Times New Roman" w:hAnsi="Times New Roman" w:cs="Times New Roman"/>
          <w:sz w:val="28"/>
          <w:szCs w:val="28"/>
        </w:rPr>
        <w:t xml:space="preserve">бщее время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эвакуации с наиболее удаленной точки составит </w:t>
      </w:r>
      <w:r>
        <w:rPr>
          <w:rFonts w:ascii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hAnsi="Times New Roman" w:cs="Times New Roman"/>
          <w:sz w:val="28"/>
          <w:szCs w:val="28"/>
        </w:rPr>
        <w:t xml:space="preserve">5,032 минут</w:t>
      </w:r>
      <w:r>
        <w:rPr>
          <w:rFonts w:ascii="Times New Roman" w:hAnsi="Times New Roman" w:cs="Times New Roman"/>
          <w:sz w:val="28"/>
          <w:szCs w:val="28"/>
        </w:rPr>
        <w:t xml:space="preserve">, а б</w:t>
      </w:r>
      <w:r>
        <w:rPr>
          <w:rFonts w:ascii="Times New Roman" w:hAnsi="Times New Roman" w:cs="Times New Roman"/>
          <w:sz w:val="28"/>
          <w:szCs w:val="28"/>
        </w:rPr>
        <w:t xml:space="preserve">езопасное время эвакуации до наступления критической концентрации оксид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углерода составляет 5,381 мин.</w:t>
      </w:r>
      <w:r>
        <w:rPr>
          <w:rFonts w:ascii="Times New Roman" w:hAnsi="Times New Roman" w:cs="Times New Roman"/>
          <w:sz w:val="28"/>
          <w:szCs w:val="28"/>
        </w:rPr>
        <w:t xml:space="preserve"> Таким образом, мы видим, что при правильной организации противопожарных тренировок, </w:t>
      </w:r>
      <w:r>
        <w:rPr>
          <w:rFonts w:ascii="Times New Roman" w:hAnsi="Times New Roman" w:cs="Times New Roman"/>
          <w:sz w:val="28"/>
          <w:szCs w:val="28"/>
        </w:rPr>
        <w:t xml:space="preserve">все 100 % </w:t>
      </w:r>
      <w:r>
        <w:rPr>
          <w:rFonts w:ascii="Times New Roman" w:hAnsi="Times New Roman" w:cs="Times New Roman"/>
          <w:sz w:val="28"/>
          <w:szCs w:val="28"/>
        </w:rPr>
        <w:t xml:space="preserve">работник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 успевают покинуть </w:t>
      </w:r>
      <w:r>
        <w:rPr>
          <w:rFonts w:ascii="Times New Roman" w:hAnsi="Times New Roman" w:cs="Times New Roman"/>
          <w:sz w:val="28"/>
          <w:szCs w:val="28"/>
        </w:rPr>
        <w:t xml:space="preserve">здание,</w:t>
      </w:r>
      <w:r>
        <w:rPr>
          <w:rFonts w:ascii="Times New Roman" w:hAnsi="Times New Roman" w:cs="Times New Roman"/>
          <w:sz w:val="28"/>
          <w:szCs w:val="28"/>
        </w:rPr>
        <w:t xml:space="preserve"> не подвергая себя опасности.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Подводя </w:t>
      </w:r>
      <w:r>
        <w:rPr>
          <w:rFonts w:ascii="Times New Roman" w:hAnsi="Times New Roman" w:cs="Times New Roman"/>
          <w:iCs/>
          <w:sz w:val="28"/>
          <w:szCs w:val="28"/>
        </w:rPr>
        <w:t xml:space="preserve">итоги,</w:t>
      </w:r>
      <w:r>
        <w:rPr>
          <w:rFonts w:ascii="Times New Roman" w:hAnsi="Times New Roman" w:cs="Times New Roman"/>
          <w:iCs/>
          <w:sz w:val="28"/>
          <w:szCs w:val="28"/>
        </w:rPr>
        <w:t xml:space="preserve"> вы можем сделать следующие выводы: проведенные расчеты и апробация на практике </w:t>
      </w:r>
      <w:r>
        <w:rPr>
          <w:rFonts w:ascii="Times New Roman" w:hAnsi="Times New Roman" w:cs="Times New Roman"/>
          <w:iCs/>
          <w:sz w:val="28"/>
          <w:szCs w:val="28"/>
        </w:rPr>
        <w:t xml:space="preserve">на примере </w:t>
      </w:r>
      <w:r>
        <w:rPr>
          <w:rFonts w:ascii="Times New Roman" w:hAnsi="Times New Roman" w:cs="Times New Roman"/>
          <w:iCs/>
          <w:sz w:val="28"/>
          <w:szCs w:val="28"/>
        </w:rPr>
        <w:t xml:space="preserve">административно</w:t>
      </w:r>
      <w:r>
        <w:rPr>
          <w:rFonts w:ascii="Times New Roman" w:hAnsi="Times New Roman" w:cs="Times New Roman"/>
          <w:iCs/>
          <w:sz w:val="28"/>
          <w:szCs w:val="28"/>
        </w:rPr>
        <w:t xml:space="preserve">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здани</w:t>
      </w:r>
      <w:r>
        <w:rPr>
          <w:rFonts w:ascii="Times New Roman" w:hAnsi="Times New Roman" w:cs="Times New Roman"/>
          <w:iCs/>
          <w:sz w:val="28"/>
          <w:szCs w:val="28"/>
        </w:rPr>
        <w:t xml:space="preserve">я</w:t>
      </w:r>
      <w:r>
        <w:rPr>
          <w:rFonts w:ascii="Times New Roman" w:hAnsi="Times New Roman" w:cs="Times New Roman"/>
          <w:iCs/>
          <w:sz w:val="28"/>
          <w:szCs w:val="28"/>
        </w:rPr>
        <w:t xml:space="preserve"> № 2 </w:t>
      </w:r>
      <w:r>
        <w:rPr>
          <w:rFonts w:ascii="Times New Roman" w:hAnsi="Times New Roman" w:cs="Times New Roman"/>
          <w:sz w:val="28"/>
          <w:szCs w:val="28"/>
        </w:rPr>
        <w:t xml:space="preserve">АО «Самотлорнефтегаз» </w:t>
      </w:r>
      <w:r>
        <w:rPr>
          <w:rFonts w:ascii="Times New Roman" w:hAnsi="Times New Roman" w:cs="Times New Roman"/>
          <w:iCs/>
          <w:sz w:val="28"/>
          <w:szCs w:val="28"/>
        </w:rPr>
        <w:t xml:space="preserve">показали</w:t>
      </w:r>
      <w:r>
        <w:rPr>
          <w:rFonts w:ascii="Times New Roman" w:hAnsi="Times New Roman" w:cs="Times New Roman"/>
          <w:iCs/>
          <w:sz w:val="28"/>
          <w:szCs w:val="28"/>
        </w:rPr>
        <w:t xml:space="preserve">:</w:t>
      </w:r>
      <w:r>
        <w:rPr>
          <w:rFonts w:ascii="Times New Roman" w:hAnsi="Times New Roman" w:cs="Times New Roman"/>
          <w:iCs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прямую зависимость </w:t>
      </w:r>
      <w:r>
        <w:rPr>
          <w:rFonts w:ascii="Times New Roman" w:hAnsi="Times New Roman" w:cs="Times New Roman"/>
          <w:sz w:val="28"/>
          <w:szCs w:val="28"/>
        </w:rPr>
        <w:t xml:space="preserve">времени эвакуации людей при пожаре и </w:t>
      </w:r>
      <w:r>
        <w:rPr>
          <w:rFonts w:ascii="Times New Roman" w:hAnsi="Times New Roman" w:cs="Times New Roman"/>
          <w:sz w:val="28"/>
          <w:szCs w:val="28"/>
        </w:rPr>
        <w:t xml:space="preserve">рисков</w:t>
      </w:r>
      <w:r>
        <w:rPr>
          <w:rFonts w:ascii="Times New Roman" w:hAnsi="Times New Roman" w:cs="Times New Roman"/>
          <w:sz w:val="28"/>
          <w:szCs w:val="28"/>
        </w:rPr>
        <w:t xml:space="preserve"> отравления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 xml:space="preserve">продуктами горения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смертельными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>
        <w:rPr>
          <w:rFonts w:ascii="Times New Roman" w:hAnsi="Times New Roman" w:cs="Times New Roman"/>
          <w:sz w:val="28"/>
          <w:szCs w:val="28"/>
        </w:rPr>
        <w:t xml:space="preserve">выработки навыков эвакуации путем </w:t>
      </w:r>
      <w:r>
        <w:rPr>
          <w:rFonts w:ascii="Times New Roman" w:hAnsi="Times New Roman" w:cs="Times New Roman"/>
          <w:sz w:val="28"/>
          <w:szCs w:val="28"/>
        </w:rPr>
        <w:t xml:space="preserve">системного подхода к организации практических противопожарных тренировок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значений расчетных показателей времени эвакуации работников и наступления критических концентраций ОФП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hAnsi="Times New Roman" w:cs="Times New Roman"/>
          <w:sz w:val="28"/>
          <w:szCs w:val="28"/>
        </w:rPr>
        <w:t xml:space="preserve">установленной законодательством нормы </w:t>
      </w:r>
      <w:r>
        <w:rPr>
          <w:rFonts w:ascii="Times New Roman" w:hAnsi="Times New Roman" w:cs="Times New Roman"/>
          <w:sz w:val="28"/>
          <w:szCs w:val="28"/>
        </w:rPr>
        <w:t xml:space="preserve">по обеспечению всех работников организаци</w:t>
      </w:r>
      <w:r>
        <w:rPr>
          <w:rFonts w:ascii="Times New Roman" w:hAnsi="Times New Roman" w:cs="Times New Roman"/>
          <w:sz w:val="28"/>
          <w:szCs w:val="28"/>
        </w:rPr>
        <w:t xml:space="preserve">й</w:t>
      </w:r>
      <w:r>
        <w:rPr>
          <w:rFonts w:ascii="Times New Roman" w:hAnsi="Times New Roman" w:cs="Times New Roman"/>
          <w:sz w:val="28"/>
          <w:szCs w:val="28"/>
        </w:rPr>
        <w:t xml:space="preserve"> средствами индивидуальной защиты </w:t>
      </w:r>
      <w:r>
        <w:rPr>
          <w:rFonts w:ascii="Times New Roman" w:hAnsi="Times New Roman" w:cs="Times New Roman"/>
          <w:sz w:val="28"/>
          <w:szCs w:val="28"/>
        </w:rPr>
        <w:t xml:space="preserve">органов дыхания</w:t>
      </w:r>
      <w:r>
        <w:rPr>
          <w:rFonts w:ascii="Times New Roman" w:hAnsi="Times New Roman" w:cs="Times New Roman"/>
          <w:sz w:val="28"/>
          <w:szCs w:val="28"/>
        </w:rPr>
        <w:t xml:space="preserve"> и необходимостью наличия в зданиях с массовым пребыванием людей приспособленных средств индивидуальной защиты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м</w:t>
      </w:r>
      <w:r>
        <w:rPr>
          <w:rFonts w:ascii="Times New Roman" w:hAnsi="Times New Roman" w:cs="Times New Roman"/>
          <w:sz w:val="28"/>
          <w:szCs w:val="28"/>
        </w:rPr>
        <w:t xml:space="preserve">ы считаем, что </w:t>
      </w:r>
      <w:r>
        <w:rPr>
          <w:rFonts w:ascii="Times New Roman" w:hAnsi="Times New Roman" w:cs="Times New Roman"/>
          <w:sz w:val="28"/>
          <w:szCs w:val="28"/>
        </w:rPr>
        <w:t xml:space="preserve">проведенные нами расчеты и практический эксперимент позволяют с высокой долей вероятности утверждать, что </w:t>
      </w: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r>
        <w:rPr>
          <w:rFonts w:ascii="Times New Roman" w:hAnsi="Times New Roman" w:cs="Times New Roman"/>
          <w:sz w:val="28"/>
          <w:szCs w:val="28"/>
        </w:rPr>
        <w:t xml:space="preserve">указанных выше </w:t>
      </w:r>
      <w:r>
        <w:rPr>
          <w:rFonts w:ascii="Times New Roman" w:hAnsi="Times New Roman" w:cs="Times New Roman"/>
          <w:sz w:val="28"/>
          <w:szCs w:val="28"/>
        </w:rPr>
        <w:t xml:space="preserve">требований позволит людям сохранить </w:t>
      </w:r>
      <w:r>
        <w:rPr>
          <w:rFonts w:ascii="Times New Roman" w:hAnsi="Times New Roman" w:cs="Times New Roman"/>
          <w:sz w:val="28"/>
          <w:szCs w:val="28"/>
        </w:rPr>
        <w:t xml:space="preserve">свою </w:t>
      </w:r>
      <w:r>
        <w:rPr>
          <w:rFonts w:ascii="Times New Roman" w:hAnsi="Times New Roman" w:cs="Times New Roman"/>
          <w:sz w:val="28"/>
          <w:szCs w:val="28"/>
        </w:rPr>
        <w:t xml:space="preserve">жизнь и здоровь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, и кратно сократить гибель людей при пожарах.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литературы: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пожаров и последствий от них, произошедших на территории Ханты-Мансийского автономного округа – Югры за 2019 год. - Главное управление МЧС России по Ханты-Мансийскому автономному округу – Югре, 2019. – с. 24;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пожаров и последствий от них, произошедших на территории Ханты-Мансийского автономного округа – Югры за 2021 год. - Главное управление МЧС России по Ханты-Мансийскому автономному округу – Югре, 2021. – с. 2</w:t>
      </w: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пожаров и последствий от них, произошедших на территории Ханты-Мансийского автономного округа – Югры за 202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год. - Главное управление МЧС России по Ханты-Мансийскому автономному округу – Югре, 202</w:t>
      </w:r>
      <w:r>
        <w:rPr>
          <w:rFonts w:ascii="Times New Roman" w:hAnsi="Times New Roman" w:cs="Times New Roman"/>
          <w:sz w:val="28"/>
          <w:szCs w:val="28"/>
        </w:rPr>
        <w:t xml:space="preserve">2. – с. 26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пожаров и последствий от них, произошедших на территории Ханты-Мансийского автономного округа – Югры за 2023 год. - Главное </w:t>
      </w:r>
      <w:r>
        <w:rPr>
          <w:rFonts w:ascii="Times New Roman" w:hAnsi="Times New Roman" w:cs="Times New Roman"/>
          <w:sz w:val="28"/>
          <w:szCs w:val="28"/>
        </w:rPr>
        <w:t xml:space="preserve">управление МЧС России по Ханты-Мансийскому автономному округу – Югре, 2023. – с. 24;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Боландина Е.С.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  <w:lang w:eastAsia="ru-RU"/>
        </w:rPr>
        <w:t xml:space="preserve">лияние опасных факторов пожара на организм человека // Международный студенческий научный вестник. – 2017. – № 2.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12.1.004-91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Система стандартов безопасности труда (ССБТ). Пожарная безопасность. Общие требования. - М.: Стандартинформ, 2006.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МЧС России от 30.06.2009 №382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методики определения расчетных величин пожарного риска в зданиях, сооружениях и строениях различных классов функциональной пожарной опасности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numPr>
          <w:ilvl w:val="0"/>
          <w:numId w:val="2"/>
        </w:numPr>
        <w:ind w:left="0" w:firstLine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Технический регламент о требованиях пожарной безопасности от 22.07.2008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123-ФЗ.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05"/>
        <w:ind w:left="709"/>
        <w:jc w:val="both"/>
        <w:spacing w:after="0" w:line="360" w:lineRule="auto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  <w:lang w:val="en-US"/>
        </w:rPr>
      </w:pPr>
      <w:r/>
      <w:bookmarkStart w:id="1" w:name="_GoBack"/>
      <w:r/>
      <w:bookmarkEnd w:id="1"/>
      <w:r/>
      <w:r>
        <w:rPr>
          <w:rFonts w:ascii="Times New Roman" w:hAnsi="Times New Roman" w:cs="Times New Roman"/>
          <w:sz w:val="28"/>
          <w:szCs w:val="28"/>
          <w:lang w:val="en-US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80305040603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NewRoman">
    <w:panose1 w:val="020206030504050203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78759063"/>
      <w:docPartObj>
        <w:docPartGallery w:val="Page Numbers (Bottom of Page)"/>
        <w:docPartUnique w:val="true"/>
      </w:docPartObj>
      <w:rPr>
        <w:rFonts w:ascii="Times New Roman" w:hAnsi="Times New Roman" w:cs="Times New Roman"/>
      </w:rPr>
    </w:sdtPr>
    <w:sdtContent>
      <w:p>
        <w:pPr>
          <w:pStyle w:val="720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</w:rPr>
          <w:t xml:space="preserve">11</w:t>
        </w:r>
        <w:r>
          <w:rPr>
            <w:rFonts w:ascii="Times New Roman" w:hAnsi="Times New Roman" w:cs="Times New Roman"/>
          </w:rPr>
          <w:fldChar w:fldCharType="end"/>
        </w:r>
        <w:r>
          <w:rPr>
            <w:rFonts w:ascii="Times New Roman" w:hAnsi="Times New Roman" w:cs="Times New Roman"/>
          </w:rPr>
        </w:r>
      </w:p>
    </w:sdtContent>
  </w:sdt>
  <w:p>
    <w:pPr>
      <w:pStyle w:val="72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(%1)"/>
      <w:lvlJc w:val="left"/>
      <w:pPr>
        <w:ind w:left="1294" w:hanging="360"/>
      </w:pPr>
      <w:rPr>
        <w:rFonts w:hint="default" w:ascii="Times New Roman" w:hAnsi="Times New Roman" w:cs="Times New Roman" w:eastAsiaTheme="minorEastAsia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0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5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3"/>
      <w:numFmt w:val="decimal"/>
      <w:isLgl/>
      <w:suff w:val="tab"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7"/>
  </w:num>
  <w:num w:numId="9">
    <w:abstractNumId w:val="8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99"/>
    <w:next w:val="6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01"/>
    <w:link w:val="1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01"/>
    <w:link w:val="700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99"/>
    <w:next w:val="6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0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99"/>
    <w:next w:val="6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0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99"/>
    <w:next w:val="6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0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99"/>
    <w:next w:val="6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0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9"/>
    <w:next w:val="6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0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9"/>
    <w:next w:val="6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0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9"/>
    <w:next w:val="6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0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99"/>
    <w:next w:val="6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01"/>
    <w:link w:val="34"/>
    <w:uiPriority w:val="10"/>
    <w:rPr>
      <w:sz w:val="48"/>
      <w:szCs w:val="48"/>
    </w:rPr>
  </w:style>
  <w:style w:type="paragraph" w:styleId="36">
    <w:name w:val="Subtitle"/>
    <w:basedOn w:val="699"/>
    <w:next w:val="6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01"/>
    <w:link w:val="36"/>
    <w:uiPriority w:val="11"/>
    <w:rPr>
      <w:sz w:val="24"/>
      <w:szCs w:val="24"/>
    </w:rPr>
  </w:style>
  <w:style w:type="paragraph" w:styleId="38">
    <w:name w:val="Quote"/>
    <w:basedOn w:val="699"/>
    <w:next w:val="6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9"/>
    <w:next w:val="6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01"/>
    <w:link w:val="718"/>
    <w:uiPriority w:val="99"/>
  </w:style>
  <w:style w:type="character" w:styleId="45">
    <w:name w:val="Footer Char"/>
    <w:basedOn w:val="701"/>
    <w:link w:val="720"/>
    <w:uiPriority w:val="99"/>
  </w:style>
  <w:style w:type="character" w:styleId="47">
    <w:name w:val="Caption Char"/>
    <w:basedOn w:val="714"/>
    <w:link w:val="720"/>
    <w:uiPriority w:val="99"/>
  </w:style>
  <w:style w:type="table" w:styleId="49">
    <w:name w:val="Table Grid Light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01"/>
    <w:uiPriority w:val="99"/>
    <w:unhideWhenUsed/>
    <w:rPr>
      <w:vertAlign w:val="superscript"/>
    </w:rPr>
  </w:style>
  <w:style w:type="paragraph" w:styleId="178">
    <w:name w:val="endnote text"/>
    <w:basedOn w:val="6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01"/>
    <w:uiPriority w:val="99"/>
    <w:semiHidden/>
    <w:unhideWhenUsed/>
    <w:rPr>
      <w:vertAlign w:val="superscript"/>
    </w:rPr>
  </w:style>
  <w:style w:type="paragraph" w:styleId="181">
    <w:name w:val="toc 1"/>
    <w:basedOn w:val="699"/>
    <w:next w:val="6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9"/>
    <w:next w:val="6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9"/>
    <w:next w:val="6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9"/>
    <w:next w:val="6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9"/>
    <w:next w:val="6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9"/>
    <w:next w:val="6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9"/>
    <w:next w:val="6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9"/>
    <w:next w:val="6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9"/>
    <w:next w:val="6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9"/>
    <w:next w:val="699"/>
    <w:uiPriority w:val="99"/>
    <w:unhideWhenUsed/>
    <w:pPr>
      <w:spacing w:after="0" w:afterAutospacing="0"/>
    </w:pPr>
  </w:style>
  <w:style w:type="paragraph" w:styleId="699" w:default="1">
    <w:name w:val="Normal"/>
    <w:qFormat/>
  </w:style>
  <w:style w:type="paragraph" w:styleId="700">
    <w:name w:val="Heading 2"/>
    <w:basedOn w:val="699"/>
    <w:next w:val="699"/>
    <w:link w:val="704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2 Знак"/>
    <w:basedOn w:val="701"/>
    <w:link w:val="700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05">
    <w:name w:val="List Paragraph"/>
    <w:basedOn w:val="699"/>
    <w:link w:val="706"/>
    <w:uiPriority w:val="34"/>
    <w:qFormat/>
    <w:pPr>
      <w:contextualSpacing/>
      <w:ind w:left="720"/>
    </w:pPr>
  </w:style>
  <w:style w:type="character" w:styleId="706" w:customStyle="1">
    <w:name w:val="Абзац списка Знак"/>
    <w:basedOn w:val="701"/>
    <w:link w:val="705"/>
    <w:uiPriority w:val="34"/>
  </w:style>
  <w:style w:type="paragraph" w:styleId="707">
    <w:name w:val="Balloon Text"/>
    <w:basedOn w:val="699"/>
    <w:link w:val="70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08" w:customStyle="1">
    <w:name w:val="Текст выноски Знак"/>
    <w:basedOn w:val="701"/>
    <w:link w:val="707"/>
    <w:uiPriority w:val="99"/>
    <w:semiHidden/>
    <w:rPr>
      <w:rFonts w:ascii="Tahoma" w:hAnsi="Tahoma" w:cs="Tahoma"/>
      <w:sz w:val="16"/>
      <w:szCs w:val="16"/>
    </w:rPr>
  </w:style>
  <w:style w:type="character" w:styleId="709">
    <w:name w:val="Placeholder Text"/>
    <w:basedOn w:val="701"/>
    <w:uiPriority w:val="99"/>
    <w:semiHidden/>
    <w:rPr>
      <w:color w:val="808080"/>
    </w:rPr>
  </w:style>
  <w:style w:type="table" w:styleId="710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11">
    <w:name w:val="Hyperlink"/>
    <w:basedOn w:val="701"/>
    <w:unhideWhenUsed/>
    <w:rPr>
      <w:color w:val="0000ff"/>
      <w:u w:val="single"/>
    </w:rPr>
  </w:style>
  <w:style w:type="paragraph" w:styleId="712">
    <w:name w:val="No Spacing"/>
    <w:link w:val="713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713" w:customStyle="1">
    <w:name w:val="Без интервала Знак"/>
    <w:link w:val="712"/>
    <w:uiPriority w:val="1"/>
    <w:rPr>
      <w:rFonts w:ascii="Calibri" w:hAnsi="Calibri" w:eastAsia="Times New Roman" w:cs="Times New Roman"/>
      <w:lang w:eastAsia="ru-RU"/>
    </w:rPr>
  </w:style>
  <w:style w:type="paragraph" w:styleId="714">
    <w:name w:val="Caption"/>
    <w:basedOn w:val="699"/>
    <w:next w:val="699"/>
    <w:uiPriority w:val="35"/>
    <w:unhideWhenUsed/>
    <w:qFormat/>
    <w:pPr>
      <w:spacing w:line="240" w:lineRule="auto"/>
    </w:pPr>
    <w:rPr>
      <w:rFonts w:ascii="Times New Roman" w:hAnsi="Times New Roman" w:eastAsia="TimesNewRoman" w:cs="Times New Roman"/>
      <w:b/>
      <w:bCs/>
      <w:color w:val="4f81bd" w:themeColor="accent1"/>
      <w:sz w:val="18"/>
      <w:szCs w:val="18"/>
    </w:rPr>
  </w:style>
  <w:style w:type="paragraph" w:styleId="715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716">
    <w:name w:val="Strong"/>
    <w:basedOn w:val="701"/>
    <w:uiPriority w:val="22"/>
    <w:qFormat/>
    <w:rPr>
      <w:b/>
      <w:bCs/>
    </w:rPr>
  </w:style>
  <w:style w:type="paragraph" w:styleId="717">
    <w:name w:val="Normal (Web)"/>
    <w:basedOn w:val="69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18">
    <w:name w:val="Header"/>
    <w:basedOn w:val="699"/>
    <w:link w:val="71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19" w:customStyle="1">
    <w:name w:val="Верхний колонтитул Знак"/>
    <w:basedOn w:val="701"/>
    <w:link w:val="718"/>
    <w:uiPriority w:val="99"/>
    <w:semiHidden/>
  </w:style>
  <w:style w:type="paragraph" w:styleId="720">
    <w:name w:val="Footer"/>
    <w:basedOn w:val="699"/>
    <w:link w:val="72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21" w:customStyle="1">
    <w:name w:val="Нижний колонтитул Знак"/>
    <w:basedOn w:val="701"/>
    <w:link w:val="720"/>
    <w:uiPriority w:val="99"/>
  </w:style>
  <w:style w:type="character" w:styleId="722" w:customStyle="1">
    <w:name w:val="Unresolved Mention"/>
    <w:basedOn w:val="701"/>
    <w:uiPriority w:val="99"/>
    <w:semiHidden/>
    <w:unhideWhenUsed/>
    <w:rPr>
      <w:color w:val="605e5c"/>
      <w:shd w:val="clear" w:color="auto" w:fill="e1dfdd"/>
    </w:rPr>
  </w:style>
  <w:style w:type="character" w:styleId="723" w:customStyle="1">
    <w:name w:val="hgkelc"/>
    <w:basedOn w:val="70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hart" Target="charts/chart1.xml" /><Relationship Id="rId12" Type="http://schemas.openxmlformats.org/officeDocument/2006/relationships/chart" Target="charts/chart2.xml" /><Relationship Id="rId13" Type="http://schemas.openxmlformats.org/officeDocument/2006/relationships/chart" Target="charts/chart3.xml" 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chart" Target="charts/chart4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4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 bwMode="auto">
        <a:prstGeom prst="rect">
          <a:avLst/>
        </a:prstGeom>
        <a:noFill/>
        <a:ln>
          <a:noFill/>
        </a:ln>
        <a:effectLst/>
      </c:spPr>
    </c:floor>
    <c:sideWall>
      <c:thickness val="0"/>
      <c:spPr bwMode="auto">
        <a:prstGeom prst="rect">
          <a:avLst/>
        </a:prstGeom>
        <a:noFill/>
        <a:ln>
          <a:noFill/>
        </a:ln>
        <a:effectLst/>
      </c:spPr>
    </c:sideWall>
    <c:backWall>
      <c:thickness val="0"/>
      <c:spPr bwMode="auto">
        <a:prstGeom prst="rect">
          <a:avLst/>
        </a:prstGeom>
        <a:noFill/>
        <a:ln>
          <a:noFill/>
        </a:ln>
        <a:effectLst/>
      </c:spPr>
    </c:backWall>
    <c:plotArea>
      <c:layout>
        <c:manualLayout>
          <c:layoutTarget val="inner"/>
          <c:xMode val="edge"/>
          <c:yMode val="edge"/>
          <c:x val="0.107085"/>
          <c:y val="0.080233"/>
          <c:w val="0.892915"/>
          <c:h val="0.78471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Столбец3</c:v>
                </c:pt>
              </c:strCache>
            </c:strRef>
          </c:tx>
          <c:spPr bwMode="auto">
            <a:prstGeom prst="rect">
              <a:avLst/>
            </a:prstGeom>
            <a:pattFill prst="wdUpDiag">
              <a:fgClr>
                <a:srgbClr val="FF000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06944"/>
                  <c:y val="-0.035714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/>
                    </a:pPr>
                    <a:fld id="{37972DB6-5808-47DB-8067-FD573350EB84}" type="VALUE">
                      <a:rPr lang="en-US" sz="1100" b="0">
                        <a:latin typeface="Times New Roman"/>
                        <a:cs typeface="Times New Roman"/>
                      </a:rPr>
                      <a:t>2521</a:t>
                    </a:fld>
                    <a:endParaRPr lang="ru-RU"/>
                  </a:p>
                </c:rich>
              </c:tx>
              <c:extLst>
                <c:ext uri="{CE6537A1-D6FC-4f65-9D91-7224C49458BB}">
                  <c15:showDataLabelsRange val="0"/>
                </c:ext>
              </c:extLst>
            </c:dLbl>
            <c:dLbl>
              <c:idx val="1"/>
              <c:layout>
                <c:manualLayout>
                  <c:x val="0.006944"/>
                  <c:y val="-0.04761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2"/>
              <c:layout>
                <c:manualLayout>
                  <c:x val="0.006944"/>
                  <c:y val="-0.043651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3"/>
              <c:layout>
                <c:manualLayout>
                  <c:x val="0.020833"/>
                  <c:y val="-0.043651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4"/>
              <c:layout>
                <c:manualLayout>
                  <c:x val="0.013889"/>
                  <c:y val="-0.047619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0" i="0" u="none" strike="noStrike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2521</c:v>
                </c:pt>
                <c:pt idx="1">
                  <c:v>2251</c:v>
                </c:pt>
                <c:pt idx="2">
                  <c:v>2276</c:v>
                </c:pt>
                <c:pt idx="3">
                  <c:v>2151</c:v>
                </c:pt>
                <c:pt idx="4">
                  <c:v>2021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shape val="box"/>
        <c:axId val="1252939744"/>
        <c:axId val="1252928864"/>
      </c:bar3DChart>
      <c:catAx>
        <c:axId val="1252939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Times New Roman"/>
              </a:defRPr>
            </a:pPr>
            <a:endParaRPr lang="ru-RU"/>
          </a:p>
        </c:txPr>
        <c:crossAx val="1252928864"/>
        <c:crosses val="autoZero"/>
        <c:auto val="1"/>
        <c:lblAlgn val="ctr"/>
        <c:lblOffset val="100"/>
        <c:noMultiLvlLbl val="0"/>
      </c:catAx>
      <c:valAx>
        <c:axId val="1252928864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1252939744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 bwMode="auto">
        <a:prstGeom prst="rect">
          <a:avLst/>
        </a:prstGeom>
        <a:noFill/>
        <a:ln>
          <a:noFill/>
        </a:ln>
        <a:effectLst/>
      </c:spPr>
    </c:floor>
    <c:sideWall>
      <c:thickness val="0"/>
      <c:spPr bwMode="auto">
        <a:prstGeom prst="rect">
          <a:avLst/>
        </a:prstGeom>
        <a:noFill/>
        <a:ln>
          <a:noFill/>
        </a:ln>
        <a:effectLst/>
      </c:spPr>
    </c:sideWall>
    <c:backWall>
      <c:thickness val="0"/>
      <c:spPr bwMode="auto">
        <a:prstGeom prst="rect">
          <a:avLst/>
        </a:prstGeom>
        <a:noFill/>
        <a:ln>
          <a:noFill/>
        </a:ln>
        <a:effectLst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Взрослые</c:v>
                </c:pt>
              </c:strCache>
            </c:strRef>
          </c:tx>
          <c:spPr bwMode="auto">
            <a:prstGeom prst="rect">
              <a:avLst/>
            </a:prstGeom>
            <a:pattFill prst="lgCheck">
              <a:fgClr>
                <a:srgbClr val="00B05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06944"/>
                  <c:y val="-0.007937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6944"/>
                  <c:y val="-0.00396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0.002315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3"/>
              <c:layout>
                <c:manualLayout>
                  <c:x val="0.013889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4"/>
              <c:layout>
                <c:manualLayout>
                  <c:x val="0.009259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49</c:v>
                </c:pt>
                <c:pt idx="1">
                  <c:v>47</c:v>
                </c:pt>
                <c:pt idx="2">
                  <c:v>43</c:v>
                </c:pt>
                <c:pt idx="3">
                  <c:v>46</c:v>
                </c:pt>
                <c:pt idx="4">
                  <c:v>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Дети</c:v>
                </c:pt>
              </c:strCache>
            </c:strRef>
          </c:tx>
          <c:spPr bwMode="auto">
            <a:prstGeom prst="rect">
              <a:avLst/>
            </a:prstGeom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11574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6944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2"/>
              <c:layout>
                <c:manualLayout>
                  <c:x val="0.009259"/>
                  <c:y val="-0.00396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3"/>
              <c:layout>
                <c:manualLayout>
                  <c:x val="0.009259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4"/>
              <c:layout>
                <c:manualLayout>
                  <c:x val="0.013889"/>
                  <c:y val="-0.015873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</c:v>
                </c:pt>
                <c:pt idx="1">
                  <c:v>4</c:v>
                </c:pt>
                <c:pt idx="2">
                  <c:v>7</c:v>
                </c:pt>
                <c:pt idx="3">
                  <c:v>4</c:v>
                </c:pt>
                <c:pt idx="4">
                  <c:v>2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shape val="box"/>
        <c:axId val="1252932672"/>
        <c:axId val="1252931584"/>
      </c:bar3DChart>
      <c:catAx>
        <c:axId val="1252932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Times New Roman"/>
                <a:ea typeface="Arial"/>
                <a:cs typeface="Times New Roman"/>
              </a:defRPr>
            </a:pPr>
            <a:endParaRPr lang="ru-RU"/>
          </a:p>
        </c:txPr>
        <c:crossAx val="1252931584"/>
        <c:crosses val="autoZero"/>
        <c:auto val="1"/>
        <c:lblAlgn val="ctr"/>
        <c:lblOffset val="100"/>
        <c:noMultiLvlLbl val="0"/>
      </c:catAx>
      <c:valAx>
        <c:axId val="1252931584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1252932672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>
              <a:solidFill>
                <a:sysClr val="windowText" lastClr="000000"/>
              </a:solidFill>
              <a:latin typeface="Times New Roman"/>
              <a:ea typeface="+mn-ea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 bwMode="auto">
        <a:prstGeom prst="rect">
          <a:avLst/>
        </a:prstGeom>
        <a:noFill/>
        <a:ln>
          <a:noFill/>
        </a:ln>
        <a:effectLst/>
      </c:spPr>
    </c:floor>
    <c:sideWall>
      <c:thickness val="0"/>
      <c:spPr bwMode="auto">
        <a:prstGeom prst="rect">
          <a:avLst/>
        </a:prstGeom>
        <a:noFill/>
        <a:ln>
          <a:noFill/>
        </a:ln>
        <a:effectLst/>
      </c:spPr>
    </c:sideWall>
    <c:backWall>
      <c:thickness val="0"/>
      <c:spPr bwMode="auto">
        <a:prstGeom prst="rect">
          <a:avLst/>
        </a:prstGeom>
        <a:noFill/>
        <a:ln>
          <a:noFill/>
        </a:ln>
        <a:effectLst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Взрослые</c:v>
                </c:pt>
              </c:strCache>
            </c:strRef>
          </c:tx>
          <c:spPr bwMode="auto">
            <a:prstGeom prst="rect">
              <a:avLst/>
            </a:prstGeom>
            <a:pattFill prst="dkVert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09259"/>
                  <c:y val="-0.015873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104</c:v>
                </c:pt>
                <c:pt idx="1">
                  <c:v>91</c:v>
                </c:pt>
                <c:pt idx="2">
                  <c:v>83</c:v>
                </c:pt>
                <c:pt idx="3">
                  <c:v>77</c:v>
                </c:pt>
                <c:pt idx="4">
                  <c:v>74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Дети</c:v>
                </c:pt>
              </c:strCache>
            </c:strRef>
          </c:tx>
          <c:spPr bwMode="auto">
            <a:prstGeom prst="rect">
              <a:avLst/>
            </a:prstGeom>
            <a:solidFill>
              <a:srgbClr val="0000FF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016204"/>
                  <c:y val="-0.011905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1"/>
              <c:layout>
                <c:manualLayout>
                  <c:x val="0.009259"/>
                  <c:y val="0.000000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200" b="0" i="0" u="none" strike="noStrike">
                      <a:solidFill>
                        <a:sysClr val="windowText" lastClr="000000"/>
                      </a:solidFill>
                      <a:latin typeface="Times New Roman"/>
                      <a:ea typeface="+mn-ea"/>
                      <a:cs typeface="Times New Roman"/>
                    </a:defRPr>
                  </a:pPr>
                  <a:endParaRPr lang="ru-RU"/>
                </a:p>
              </c:txPr>
            </c:dLbl>
            <c:dLbl>
              <c:idx val="2"/>
              <c:layout>
                <c:manualLayout>
                  <c:x val="0.006944"/>
                  <c:y val="-0.007937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3"/>
              <c:layout>
                <c:manualLayout>
                  <c:x val="0.006944"/>
                  <c:y val="-0.003968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dLbl>
              <c:idx val="4"/>
              <c:layout>
                <c:manualLayout>
                  <c:x val="0.009259"/>
                  <c:y val="-0.019841"/>
                </c:manualLayout>
              </c:layout>
              <c:showBubbleSize val="0"/>
              <c:showCatName val="0"/>
              <c:showLegendKey val="0"/>
              <c:showPercent val="0"/>
              <c:showSerName val="0"/>
              <c:showVal val="1"/>
            </c:dLbl>
            <c:showBubbleSize val="0"/>
            <c:showCatName val="0"/>
            <c:showLeaderLines val="0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>
                    <a:solidFill>
                      <a:sysClr val="windowText" lastClr="000000"/>
                    </a:solidFill>
                    <a:latin typeface="Times New Roman"/>
                    <a:ea typeface="+mn-ea"/>
                    <a:cs typeface="Times New Roman"/>
                  </a:defRPr>
                </a:pPr>
                <a:endParaRPr lang="ru-RU"/>
              </a:p>
            </c:txPr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13</c:v>
                </c:pt>
                <c:pt idx="1">
                  <c:v>5</c:v>
                </c:pt>
                <c:pt idx="2">
                  <c:v>7</c:v>
                </c:pt>
                <c:pt idx="3">
                  <c:v>5</c:v>
                </c:pt>
                <c:pt idx="4">
                  <c:v>4</c:v>
                </c:pt>
              </c:numCache>
            </c:numRef>
          </c:val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gapWidth val="150"/>
        <c:shape val="box"/>
        <c:axId val="1252936480"/>
        <c:axId val="1252934304"/>
      </c:bar3DChart>
      <c:catAx>
        <c:axId val="1252936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>
                <a:solidFill>
                  <a:sysClr val="windowText" lastClr="000000"/>
                </a:solidFill>
                <a:latin typeface="Times New Roman"/>
                <a:ea typeface="Arial"/>
                <a:cs typeface="Times New Roman"/>
              </a:defRPr>
            </a:pPr>
            <a:endParaRPr lang="ru-RU"/>
          </a:p>
        </c:txPr>
        <c:crossAx val="1252934304"/>
        <c:crosses val="autoZero"/>
        <c:auto val="1"/>
        <c:lblAlgn val="ctr"/>
        <c:lblOffset val="100"/>
        <c:noMultiLvlLbl val="0"/>
      </c:catAx>
      <c:valAx>
        <c:axId val="1252934304"/>
        <c:scaling>
          <c:orientation val="minMax"/>
        </c:scaling>
        <c:delete val="0"/>
        <c:axPos val="l"/>
        <c:majorGridlines>
          <c:spPr bwMode="auto">
            <a:prstGeom prst="rect">
              <a:avLst/>
            </a:prstGeom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 bwMode="auto">
          <a:prstGeom prst="rect">
            <a:avLst/>
          </a:prstGeom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>
                <a:solidFill>
                  <a:schemeClr val="tx1">
                    <a:lumMod val="65000"/>
                    <a:lumOff val="35000"/>
                  </a:schemeClr>
                </a:solidFill>
                <a:latin typeface="Calibri"/>
                <a:ea typeface="Arial"/>
                <a:cs typeface="Arial"/>
              </a:defRPr>
            </a:pPr>
            <a:endParaRPr lang="ru-RU"/>
          </a:p>
        </c:txPr>
        <c:crossAx val="1252936480"/>
        <c:crosses val="autoZero"/>
        <c:crossBetween val="between"/>
      </c:valAx>
      <c:spPr bwMode="auto">
        <a:prstGeom prst="rect">
          <a:avLst/>
        </a:prstGeom>
        <a:noFill/>
        <a:ln>
          <a:noFill/>
        </a:ln>
        <a:effectLst/>
      </c:spPr>
    </c:plotArea>
    <c:legend>
      <c:legendPos val="b"/>
      <c:layout/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>
              <a:solidFill>
                <a:sysClr val="windowText" lastClr="000000"/>
              </a:solidFill>
              <a:latin typeface="Times New Roman"/>
              <a:ea typeface="+mn-ea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 bwMode="auto">
    <a:prstGeom prst="rect">
      <a:avLst/>
    </a:prstGeom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26"/>
    </mc:Choice>
    <mc:Fallback>
      <c:style val="26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 xml:space="preserve">Расчетное время эвакуации</c:v>
                </c:pt>
              </c:strCache>
            </c:strRef>
          </c:tx>
          <c:spPr bwMode="auto">
            <a:prstGeom prst="rect">
              <a:avLst/>
            </a:prstGeom>
            <a:ln>
              <a:solidFill>
                <a:srgbClr val="7030A0"/>
              </a:solidFill>
            </a:ln>
          </c:spPr>
          <c:marker>
            <c:symbol val="none"/>
          </c:marker>
          <c:cat>
            <c:numRef>
              <c:f>Лист1!$A$2:$A$6</c:f>
              <c:numCache>
                <c:formatCode>m/d/yyyy</c:formatCode>
                <c:ptCount val="5"/>
                <c:pt idx="0">
                  <c:v>44602</c:v>
                </c:pt>
                <c:pt idx="1">
                  <c:v>44861</c:v>
                </c:pt>
                <c:pt idx="2">
                  <c:v>45085</c:v>
                </c:pt>
                <c:pt idx="3">
                  <c:v>45281</c:v>
                </c:pt>
                <c:pt idx="4">
                  <c:v>45393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5.032</c:v>
                </c:pt>
                <c:pt idx="1">
                  <c:v>5.032</c:v>
                </c:pt>
                <c:pt idx="2">
                  <c:v>5.032</c:v>
                </c:pt>
                <c:pt idx="3">
                  <c:v>5.032</c:v>
                </c:pt>
                <c:pt idx="4">
                  <c:v>5.032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 xml:space="preserve">Безопасное время для эвакуации</c:v>
                </c:pt>
              </c:strCache>
            </c:strRef>
          </c:tx>
          <c:spPr bwMode="auto">
            <a:prstGeom prst="rect">
              <a:avLst/>
            </a:prstGeom>
            <a:ln>
              <a:solidFill>
                <a:srgbClr val="009900"/>
              </a:solidFill>
            </a:ln>
          </c:spPr>
          <c:marker>
            <c:symbol val="none"/>
          </c:marker>
          <c:cat>
            <c:numRef>
              <c:f>Лист1!$A$2:$A$6</c:f>
              <c:numCache>
                <c:formatCode>m/d/yyyy</c:formatCode>
                <c:ptCount val="5"/>
                <c:pt idx="0">
                  <c:v>44602</c:v>
                </c:pt>
                <c:pt idx="1">
                  <c:v>44861</c:v>
                </c:pt>
                <c:pt idx="2">
                  <c:v>45085</c:v>
                </c:pt>
                <c:pt idx="3">
                  <c:v>45281</c:v>
                </c:pt>
                <c:pt idx="4">
                  <c:v>45393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5.181</c:v>
                </c:pt>
                <c:pt idx="1">
                  <c:v>5.181</c:v>
                </c:pt>
                <c:pt idx="2">
                  <c:v>5.181</c:v>
                </c:pt>
                <c:pt idx="3">
                  <c:v>5.181</c:v>
                </c:pt>
                <c:pt idx="4">
                  <c:v>5.181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 xml:space="preserve">Фактическое время эвакуации</c:v>
                </c:pt>
              </c:strCache>
            </c:strRef>
          </c:tx>
          <c:spPr bwMode="auto">
            <a:prstGeom prst="rect">
              <a:avLst/>
            </a:prstGeom>
            <a:ln>
              <a:solidFill>
                <a:srgbClr val="FF0000"/>
              </a:solidFill>
            </a:ln>
          </c:spPr>
          <c:marker>
            <c:symbol val="none"/>
          </c:marker>
          <c:cat>
            <c:numRef>
              <c:f>Лист1!$A$2:$A$6</c:f>
              <c:numCache>
                <c:formatCode>m/d/yyyy</c:formatCode>
                <c:ptCount val="5"/>
                <c:pt idx="0">
                  <c:v>44602</c:v>
                </c:pt>
                <c:pt idx="1">
                  <c:v>44861</c:v>
                </c:pt>
                <c:pt idx="2">
                  <c:v>45085</c:v>
                </c:pt>
                <c:pt idx="3">
                  <c:v>45281</c:v>
                </c:pt>
                <c:pt idx="4">
                  <c:v>45393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5.705</c:v>
                </c:pt>
                <c:pt idx="1">
                  <c:v>5.626</c:v>
                </c:pt>
                <c:pt idx="2">
                  <c:v>5.503</c:v>
                </c:pt>
                <c:pt idx="3">
                  <c:v>5.364</c:v>
                </c:pt>
                <c:pt idx="4">
                  <c:v>5.011</c:v>
                </c:pt>
              </c:numCache>
            </c:numRef>
          </c:val>
          <c:smooth val="0"/>
        </c:ser>
        <c:dLbls>
          <c:showBubbleSize val="0"/>
          <c:showCatName val="0"/>
          <c:showLeaderLines val="0"/>
          <c:showLegendKey val="0"/>
          <c:showPercent val="0"/>
          <c:showSerName val="0"/>
          <c:showVal val="0"/>
        </c:dLbls>
        <c:smooth val="0"/>
        <c:axId val="141049216"/>
        <c:axId val="52995200"/>
      </c:lineChart>
      <c:catAx>
        <c:axId val="141049216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crossAx val="52995200"/>
        <c:crosses val="autoZero"/>
        <c:auto val="0"/>
        <c:lblAlgn val="ctr"/>
        <c:lblOffset val="100"/>
        <c:noMultiLvlLbl val="0"/>
      </c:catAx>
      <c:valAx>
        <c:axId val="52995200"/>
        <c:scaling>
          <c:orientation val="minMax"/>
        </c:scaling>
        <c:delete val="0"/>
        <c:axPos val="l"/>
        <c:majorGridlines>
          <c:spPr bwMode="auto"/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мин</a:t>
                </a:r>
                <a:endParaRPr/>
              </a:p>
            </c:rich>
          </c:tx>
          <c:layout>
            <c:manualLayout>
              <c:xMode val="edge"/>
              <c:yMode val="edge"/>
              <c:x val="0.260356"/>
              <c:y val="0.383218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14104921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txPr>
    <a:bodyPr/>
    <a:lstStyle/>
    <a:p>
      <a:pPr>
        <a:defRPr sz="1050">
          <a:latin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/>
  </cs:categoryAxis>
  <cs:chartArea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 bwMode="auto">
      <a:prstGeom prst="rect">
        <a:avLst/>
      </a:prstGeom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 bwMode="auto">
      <a:prstGeom prst="rect">
        <a:avLst/>
      </a:prstGeom>
      <a:ln w="9525">
        <a:solidFill>
          <a:schemeClr val="phClr"/>
        </a:solidFill>
      </a:ln>
    </cs:spPr>
  </cs:dataPointMarker>
  <cs:dataPointWireframe>
    <cs:lnRef idx="0">
      <cs:styleClr val="auto"/>
    </cs:lnRef>
    <cs:fillRef idx="1"/>
    <cs:effectRef idx="0"/>
    <cs:fontRef idx="minor">
      <a:schemeClr val="tx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 bwMode="auto">
      <a:prstGeom prst="rect">
        <a:avLst/>
      </a:prstGeom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dataTable>
  <cs:down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 bwMode="auto">
      <a:prstGeom prst="rect">
        <a:avLst/>
      </a:prstGeom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spc="0"/>
  </cs:title>
  <cs:trendline>
    <cs:lnRef idx="0">
      <cs:styleClr val="auto"/>
    </cs:lnRef>
    <cs:fillRef idx="0"/>
    <cs:effectRef idx="0"/>
    <cs:fontRef idx="minor">
      <a:schemeClr val="tx1"/>
    </cs:fontRef>
    <cs:spPr bwMode="auto">
      <a:prstGeom prst="rect">
        <a:avLst/>
      </a:prstGeom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 bwMode="auto">
      <a:prstGeom prst="rect">
        <a:avLst/>
      </a:prstGeom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  <cs:spPr bwMode="auto">
      <a:prstGeom prst="rect">
        <a:avLst/>
      </a:prstGeom>
      <a:noFill/>
      <a:ln>
        <a:noFill/>
      </a:ln>
    </cs:spPr>
  </cs:wall>
  <cs:dataPointMarkerLayout symbol="circle" size="5"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71BCB-493D-4180-956C-56E12521D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r7-office/2024.3.2.622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Меруерт Байгозина</cp:lastModifiedBy>
  <cp:revision>173</cp:revision>
  <dcterms:created xsi:type="dcterms:W3CDTF">2022-05-14T11:01:00Z</dcterms:created>
  <dcterms:modified xsi:type="dcterms:W3CDTF">2024-12-10T14:14:45Z</dcterms:modified>
</cp:coreProperties>
</file>