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D40CD" w14:textId="7192BBC4" w:rsidR="000D0B99" w:rsidRPr="00676213" w:rsidRDefault="000D0B99" w:rsidP="000D0B99">
      <w:pPr>
        <w:pStyle w:val="2"/>
        <w:ind w:firstLine="0"/>
        <w:jc w:val="center"/>
        <w:rPr>
          <w:rFonts w:eastAsiaTheme="majorEastAsia"/>
        </w:rPr>
      </w:pPr>
      <w:r w:rsidRPr="00676213">
        <w:rPr>
          <w:rFonts w:eastAsiaTheme="majorEastAsia"/>
        </w:rPr>
        <w:t xml:space="preserve">Практические </w:t>
      </w:r>
      <w:r w:rsidR="00FA4544">
        <w:rPr>
          <w:rFonts w:eastAsiaTheme="majorEastAsia"/>
        </w:rPr>
        <w:t>задания</w:t>
      </w:r>
      <w:r w:rsidRPr="00676213">
        <w:rPr>
          <w:rFonts w:eastAsiaTheme="majorEastAsia"/>
        </w:rPr>
        <w:t xml:space="preserve"> по дисциплине «Создание и постановка на производство объектов энергетического машиностроения»</w:t>
      </w:r>
    </w:p>
    <w:p w14:paraId="20FD2102" w14:textId="586ADB33" w:rsidR="00A96855" w:rsidRPr="00DD6510" w:rsidRDefault="00A96855" w:rsidP="00A96855">
      <w:pPr>
        <w:pStyle w:val="1"/>
        <w:keepLines/>
        <w:spacing w:before="480" w:line="267" w:lineRule="auto"/>
        <w:ind w:left="11" w:hanging="10"/>
        <w:jc w:val="both"/>
        <w:rPr>
          <w:rFonts w:ascii="Cambria" w:eastAsiaTheme="majorEastAsia" w:hAnsi="Cambria" w:cstheme="majorBidi"/>
          <w:b/>
          <w:bCs/>
          <w:color w:val="2F5496" w:themeColor="accent1" w:themeShade="BF"/>
          <w:szCs w:val="28"/>
        </w:rPr>
      </w:pPr>
      <w:r w:rsidRPr="00676213">
        <w:rPr>
          <w:rFonts w:ascii="Cambria" w:eastAsiaTheme="majorEastAsia" w:hAnsi="Cambria" w:cstheme="majorBidi"/>
          <w:b/>
          <w:bCs/>
          <w:color w:val="2F5496" w:themeColor="accent1" w:themeShade="BF"/>
          <w:szCs w:val="28"/>
        </w:rPr>
        <w:t>Практическое за</w:t>
      </w:r>
      <w:r w:rsidR="00FA4544">
        <w:rPr>
          <w:rFonts w:ascii="Cambria" w:eastAsiaTheme="majorEastAsia" w:hAnsi="Cambria" w:cstheme="majorBidi"/>
          <w:b/>
          <w:bCs/>
          <w:color w:val="2F5496" w:themeColor="accent1" w:themeShade="BF"/>
          <w:szCs w:val="28"/>
        </w:rPr>
        <w:t>дание</w:t>
      </w:r>
      <w:r w:rsidRPr="00DD6510">
        <w:rPr>
          <w:rFonts w:ascii="Cambria" w:eastAsiaTheme="majorEastAsia" w:hAnsi="Cambria" w:cstheme="majorBidi"/>
          <w:b/>
          <w:bCs/>
          <w:color w:val="2F5496" w:themeColor="accent1" w:themeShade="BF"/>
          <w:szCs w:val="28"/>
        </w:rPr>
        <w:t xml:space="preserve"> №</w:t>
      </w:r>
      <w:r w:rsidR="00926549">
        <w:rPr>
          <w:rFonts w:ascii="Cambria" w:eastAsiaTheme="majorEastAsia" w:hAnsi="Cambria" w:cstheme="majorBidi"/>
          <w:b/>
          <w:bCs/>
          <w:color w:val="2F5496" w:themeColor="accent1" w:themeShade="BF"/>
          <w:szCs w:val="28"/>
        </w:rPr>
        <w:t>1</w:t>
      </w:r>
      <w:r w:rsidRPr="00DD6510">
        <w:rPr>
          <w:rFonts w:ascii="Cambria" w:eastAsiaTheme="majorEastAsia" w:hAnsi="Cambria" w:cstheme="majorBidi"/>
          <w:b/>
          <w:bCs/>
          <w:color w:val="2F5496" w:themeColor="accent1" w:themeShade="BF"/>
          <w:szCs w:val="28"/>
        </w:rPr>
        <w:t xml:space="preserve"> Техническое задание </w:t>
      </w:r>
    </w:p>
    <w:p w14:paraId="3912F211" w14:textId="77777777" w:rsidR="001566F8" w:rsidRPr="001566F8" w:rsidRDefault="001566F8" w:rsidP="001566F8">
      <w:pPr>
        <w:pStyle w:val="2"/>
        <w:ind w:firstLine="0"/>
        <w:jc w:val="center"/>
        <w:rPr>
          <w:rFonts w:eastAsiaTheme="majorEastAsia"/>
        </w:rPr>
      </w:pPr>
    </w:p>
    <w:p w14:paraId="12F77F44" w14:textId="0C615082" w:rsidR="001566F8" w:rsidRDefault="00926549" w:rsidP="00926549">
      <w:pPr>
        <w:pStyle w:val="2"/>
        <w:ind w:firstLine="0"/>
        <w:jc w:val="both"/>
        <w:rPr>
          <w:rFonts w:eastAsiaTheme="majorEastAsia"/>
          <w:b w:val="0"/>
          <w:bCs/>
        </w:rPr>
      </w:pPr>
      <w:r w:rsidRPr="00926549">
        <w:rPr>
          <w:rFonts w:eastAsiaTheme="majorEastAsia"/>
          <w:b w:val="0"/>
          <w:bCs/>
        </w:rPr>
        <w:t>Цель работы: научиться составлять техническое задание</w:t>
      </w:r>
      <w:r>
        <w:rPr>
          <w:rFonts w:eastAsiaTheme="majorEastAsia"/>
          <w:b w:val="0"/>
          <w:bCs/>
        </w:rPr>
        <w:t xml:space="preserve"> по направлению профессиональной деятельности.</w:t>
      </w:r>
    </w:p>
    <w:p w14:paraId="7DAABE13" w14:textId="5781EA7C" w:rsidR="00926549" w:rsidRPr="00926549" w:rsidRDefault="00926549" w:rsidP="00926549">
      <w:pPr>
        <w:pStyle w:val="2"/>
        <w:ind w:firstLine="0"/>
        <w:jc w:val="both"/>
        <w:rPr>
          <w:rFonts w:eastAsiaTheme="majorEastAsia"/>
          <w:b w:val="0"/>
          <w:bCs/>
        </w:rPr>
      </w:pPr>
      <w:r>
        <w:rPr>
          <w:rFonts w:eastAsiaTheme="majorEastAsia"/>
          <w:b w:val="0"/>
          <w:bCs/>
        </w:rPr>
        <w:t xml:space="preserve">Задачи работы: составить </w:t>
      </w:r>
      <w:r w:rsidRPr="00926549">
        <w:rPr>
          <w:rFonts w:eastAsiaTheme="majorEastAsia"/>
          <w:b w:val="0"/>
          <w:bCs/>
        </w:rPr>
        <w:t>техническое задание</w:t>
      </w:r>
      <w:r>
        <w:rPr>
          <w:rFonts w:eastAsiaTheme="majorEastAsia"/>
          <w:b w:val="0"/>
          <w:bCs/>
        </w:rPr>
        <w:t xml:space="preserve"> по направлению профессиональной деятельности</w:t>
      </w:r>
    </w:p>
    <w:p w14:paraId="29E80C6A" w14:textId="26DD4D9E" w:rsidR="00A96855" w:rsidRPr="001566F8" w:rsidRDefault="00A96855" w:rsidP="001566F8">
      <w:pPr>
        <w:pStyle w:val="2"/>
        <w:ind w:firstLine="0"/>
        <w:jc w:val="center"/>
        <w:rPr>
          <w:rFonts w:eastAsiaTheme="majorEastAsia"/>
        </w:rPr>
      </w:pPr>
      <w:r w:rsidRPr="001566F8">
        <w:rPr>
          <w:rFonts w:eastAsiaTheme="majorEastAsia"/>
        </w:rPr>
        <w:t>Техническое задание. Общие положения</w:t>
      </w:r>
    </w:p>
    <w:p w14:paraId="46310B4F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ТЗ является неотъемлемой частью контракта (договора), заключаемого между заказчиком работы (далее - заказчик), головным исполнителем, исполнителями СЧ работы, исполнителями работ по разработке КИМП. </w:t>
      </w:r>
    </w:p>
    <w:p w14:paraId="628BB681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ТЗ учитывается информация об аналогичной продукции, содержащейся в различных базах данных.</w:t>
      </w:r>
    </w:p>
    <w:p w14:paraId="24E566C8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ТЗ заказчик. Разработку и согласование ТЗ осуществляет заказчик или разработчик, исходя из статуса заказчика, источника финансирования и условий рынка сбыта.</w:t>
      </w:r>
    </w:p>
    <w:p w14:paraId="0FA4BA0F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Разработку, согласование и утверждение ТЗ в случае инициативной разработки осуществляет разработчик в установленном у него порядке.</w:t>
      </w:r>
    </w:p>
    <w:p w14:paraId="3D829C27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инициативной разработке, по усмотрению разработчика, отдельные требования и порядок изложения ТЗ могут быть исключены или объединены.</w:t>
      </w:r>
    </w:p>
    <w:p w14:paraId="56AD61AD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Согласованное и утвержденное ТЗ является обязательным документом для организаций заказчика, головного исполнителя (исполнителя) работы (СЧ работы, работ по разработке КИМП).</w:t>
      </w:r>
    </w:p>
    <w:p w14:paraId="54891E0F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подтверждения отдельных требований к продукции, в том числе требований безопасности, охраны здоровья и окружающей среды, а также оценки технического уровня продукции, ТЗ может быть направлено разработчиком или заказчиком на экспертизу (заключение) в сторонние </w:t>
      </w: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организации. Решения по полученным заключениям принимают разработчик и заказчик до утверждения ТЗ.</w:t>
      </w:r>
    </w:p>
    <w:p w14:paraId="2B531B17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работ по созданию изделий, в которых предусматривают использование средств вычислительной техники, разработка математического, информационно-лингвистического и программного обеспечения может быть выделена в отдельную (самостоятельную) часть работы. В этом случае разработку и оформление ТЗ на СЧ работы осуществляют с учетом требований ГОСТ 19.201 и ГОСТ 34.602.</w:t>
      </w:r>
    </w:p>
    <w:p w14:paraId="2E42FB93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может проводиться метрологическая экспертиза ТЗ.</w:t>
      </w:r>
    </w:p>
    <w:p w14:paraId="5ABA1569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>ТЗ обозначается как приложение к контракту (договору). Его учет (регистрация), хранение, изменение и передача осуществляются в качестве составной части контракта.</w:t>
      </w:r>
    </w:p>
    <w:p w14:paraId="2FD44346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Как правило, ТЗ составляется заказчиком (зачастую совместно с разработчиком). Обязанность заказчика – предъявлять разработчику исходные данные для разработки изделия. Заказчик отвечает за предъявленные требования и исходные данные.</w:t>
      </w:r>
    </w:p>
    <w:p w14:paraId="7D259E02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 xml:space="preserve">Техническое задание требует от его разработчика зачастую больше эрудиции и творческого поиска, чем это требуется при разработке. </w:t>
      </w:r>
    </w:p>
    <w:p w14:paraId="272B9ACE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ТЗ на </w:t>
      </w:r>
      <w:r w:rsidRPr="00DD6510">
        <w:rPr>
          <w:rFonts w:ascii="Times New Roman" w:hAnsi="Times New Roman" w:cs="Times New Roman"/>
          <w:sz w:val="28"/>
          <w:szCs w:val="28"/>
        </w:rPr>
        <w:t>ОКР может состоять из разделов, располагаемых в следующем порядке:</w:t>
      </w:r>
    </w:p>
    <w:p w14:paraId="4EDE8FDA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наименование, шифр ОКР, основание, исполнитель и сроки выполнения ОКР;</w:t>
      </w:r>
    </w:p>
    <w:p w14:paraId="4B416ED1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цель выполнения ОКР, наименование и обозначение изделия (устанавливают подлежащие достижению обобщенные результаты выполнения ОКР);</w:t>
      </w:r>
    </w:p>
    <w:p w14:paraId="284532DA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технические требования к изделию (указывают требования, характеристики, нормы, показатели и другие параметры, определяющие назначение, эксплуатационные характеристики, условия эксплуатации и применения изделия, подробнее ГОСТ 15.016);</w:t>
      </w:r>
    </w:p>
    <w:p w14:paraId="01BC9065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lastRenderedPageBreak/>
        <w:t>технико-экономические требования (устанавливают требования, выполнение которых обеспечит разработку изделия, отвечающего условию экономической целесообразности его создания по критерию "эффективность-стоимость".);</w:t>
      </w:r>
    </w:p>
    <w:p w14:paraId="39FC12D6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требования к видам обеспечения (устанавливают требования и нормы по видам обеспечения изделия для достижения заданной эффективности в процессе его применения и эксплуатации. Раздел должен состоять из подразделов: требования к нормативно-техническому обеспечению; требования к метрологическому обеспечению; требования к диагностическому обеспечению; требования к математическому, программному и информационно-лингвистическому обеспечению. Подробнее ГОСТ 15.016.);</w:t>
      </w:r>
    </w:p>
    <w:p w14:paraId="166B72AA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требования к сырью, материалам и КИМП (устанавливают: требования к КИМП, групповым, ремонтным комплектам ЗИП и другим покупным изделиям, жидкостям, смазкам, краскам и материалам (продуктам, веществам);  требования к использованию при создании (модернизации), изготовлении и эксплуатации изделий материалов и КИМП; ограничение номенклатуры (видов, марок, типоразмеров) применяемого сырья, материалов (в том числе эксплуатационных), КИМП и других покупных изделий; возможность применения и (или) ограничения в применении дефицитных и драгоценных материалов (металлов) и сплавов, порядок их учета; требования к физико-химическим, механическим и другим свойствам отдельных видов сырья и материалов, определяющих качество изделия.);</w:t>
      </w:r>
    </w:p>
    <w:p w14:paraId="331AA2D9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требования к консервации, упаковке и маркировке;</w:t>
      </w:r>
    </w:p>
    <w:p w14:paraId="1FE6366D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требования к учебно-тренировочным средствам (при необходимости);</w:t>
      </w:r>
    </w:p>
    <w:p w14:paraId="5DC2B409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 xml:space="preserve">специальные требования (устанавливают: требования к виду и составу специального оборудования и оснастки, необходимых для обеспечения эксплуатации и технического обслуживания изделия; требования к специальному ремонтно-технологическому оборудованию, </w:t>
      </w:r>
      <w:r w:rsidRPr="00DD6510">
        <w:rPr>
          <w:rFonts w:ascii="Times New Roman" w:hAnsi="Times New Roman" w:cs="Times New Roman"/>
          <w:sz w:val="28"/>
          <w:szCs w:val="28"/>
        </w:rPr>
        <w:lastRenderedPageBreak/>
        <w:t>предназначенному для комплектования ремонтных органов в целях обеспечения ремонта и поддержания изделия в работоспособном состоянии в процессе эксплуатации; требования разработки средств обеспечения испытаний и модулирования изделия, в том числе средств имитации, объективного контроля и обеспечения испытаний на стойкость, электромагнитную совместимость, помехозащищенность, защищенность от электромагнитных излучений; требования к методам испытаний изделия при разработке, серийном производстве и в течение гарантийного срока его эксплуатации, необходимость разработки его математической модели; вид экспортного исполнения изделия (при необходимости); требования к патентной чистоте и патентоспособности изделия и его СЧ.);</w:t>
      </w:r>
    </w:p>
    <w:p w14:paraId="11819F34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требования к документации (устанавливают требования к документам разрабатываемого изделия (комплекса, системы) согласно стандартам ЕСКД);</w:t>
      </w:r>
    </w:p>
    <w:p w14:paraId="34C550E1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 xml:space="preserve">этапы выполнения ОКР (указывают наименования обязательных этапов, а при необходимости - самостоятельных отчетных </w:t>
      </w:r>
      <w:proofErr w:type="spellStart"/>
      <w:r w:rsidRPr="00DD6510">
        <w:rPr>
          <w:rFonts w:ascii="Times New Roman" w:hAnsi="Times New Roman" w:cs="Times New Roman"/>
          <w:sz w:val="28"/>
          <w:szCs w:val="28"/>
        </w:rPr>
        <w:t>подэтапов</w:t>
      </w:r>
      <w:proofErr w:type="spellEnd"/>
      <w:r w:rsidRPr="00DD6510">
        <w:rPr>
          <w:rFonts w:ascii="Times New Roman" w:hAnsi="Times New Roman" w:cs="Times New Roman"/>
          <w:sz w:val="28"/>
          <w:szCs w:val="28"/>
        </w:rPr>
        <w:t xml:space="preserve"> и конкретный перечень работ, выполняемых на каждом этапе (</w:t>
      </w:r>
      <w:proofErr w:type="spellStart"/>
      <w:r w:rsidRPr="00DD6510">
        <w:rPr>
          <w:rFonts w:ascii="Times New Roman" w:hAnsi="Times New Roman" w:cs="Times New Roman"/>
          <w:sz w:val="28"/>
          <w:szCs w:val="28"/>
        </w:rPr>
        <w:t>подэтапе</w:t>
      </w:r>
      <w:proofErr w:type="spellEnd"/>
      <w:r w:rsidRPr="00DD6510">
        <w:rPr>
          <w:rFonts w:ascii="Times New Roman" w:hAnsi="Times New Roman" w:cs="Times New Roman"/>
          <w:sz w:val="28"/>
          <w:szCs w:val="28"/>
        </w:rPr>
        <w:t>).);</w:t>
      </w:r>
    </w:p>
    <w:p w14:paraId="10BC8A0E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 xml:space="preserve">порядок выполнения и приемки этапов ОКР. </w:t>
      </w:r>
    </w:p>
    <w:p w14:paraId="2C08E50C" w14:textId="77777777" w:rsidR="00A96855" w:rsidRPr="00DD6510" w:rsidRDefault="00A96855" w:rsidP="00A96855">
      <w:pPr>
        <w:pStyle w:val="a3"/>
        <w:numPr>
          <w:ilvl w:val="0"/>
          <w:numId w:val="16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ТЗ на ОКР может быть дополнено приложениями (В приложения к ТЗ на ОКР могут быть включены отчет о патентных исследованиях, перечень стандартов, используемых при создании изделия, справочные материалы, ограничения по использованию специальных материалов, КИМП и других покупных изделий, а также материалы, необходимые для разработки изделия (чертежи, схемы, расчеты).).</w:t>
      </w:r>
    </w:p>
    <w:p w14:paraId="6C47CC68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В зависимости от особенностей разрабатываемого (модернизируемого) изделия, условий его применения и эксплуатации допускается вводить в ТЗ на ОКР другие разделы или исключать разделы, в которых нет необходимости.</w:t>
      </w:r>
    </w:p>
    <w:p w14:paraId="1979A3D3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 xml:space="preserve">Конкретное количество, содержание разделов и подразделов ТЗ на ОКР определяет заказчик на основе требований настоящего стандарта с учетом </w:t>
      </w:r>
      <w:r w:rsidRPr="00DD6510">
        <w:rPr>
          <w:rFonts w:ascii="Times New Roman" w:hAnsi="Times New Roman" w:cs="Times New Roman"/>
          <w:sz w:val="28"/>
          <w:szCs w:val="28"/>
        </w:rPr>
        <w:lastRenderedPageBreak/>
        <w:t>специфики и особенностей создаваемого изделия, условий его применения и эксплуатации.</w:t>
      </w:r>
    </w:p>
    <w:p w14:paraId="6A8E9ACF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При необходимости уточнения отдельных требований ТЗ в процессе выполнения ОКР должен быть указан этап ОКР, на котором эти требования уточняют.</w:t>
      </w:r>
    </w:p>
    <w:p w14:paraId="7BD5EA23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оформлению ТЗ на ОКР</w:t>
      </w:r>
    </w:p>
    <w:p w14:paraId="588432FB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ТЗ на ОКР должно быть оформлено в соответствии с общими требованиями к текстовым документам по ГОСТ 2.105 на листах формата А4 по ГОСТ 2.301, без рамки, основной надписи и дополнительных граф к ней.</w:t>
      </w:r>
    </w:p>
    <w:p w14:paraId="62A4A12C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Схемы, чертежи и таблицы допускается выполнять на листах форматов А4, A3, А2. Номера листов (страниц) следует проставлять в правом верхнем углу листа (над текстом).</w:t>
      </w:r>
    </w:p>
    <w:p w14:paraId="60C7F497" w14:textId="77777777" w:rsidR="00A96855" w:rsidRPr="00DD6510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Титульный лист ТЗ на ОКР оформляют в соответствии с требованиями ГОСТ 2.105 по форме, приведенной в его приложении А (форма 1).</w:t>
      </w:r>
    </w:p>
    <w:p w14:paraId="71FF3C5D" w14:textId="3FB3B1B2" w:rsidR="00A96855" w:rsidRDefault="00A96855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510">
        <w:rPr>
          <w:rFonts w:ascii="Times New Roman" w:hAnsi="Times New Roman" w:cs="Times New Roman"/>
          <w:sz w:val="28"/>
          <w:szCs w:val="28"/>
        </w:rPr>
        <w:t>Подробная по структуре и состав ТЗ описан в ГОСТ 15.016.</w:t>
      </w:r>
    </w:p>
    <w:p w14:paraId="6BB4BF7F" w14:textId="77777777" w:rsidR="00926549" w:rsidRPr="00DD6510" w:rsidRDefault="00926549" w:rsidP="00A968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26549" w:rsidRPr="00DD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B5EC5"/>
    <w:multiLevelType w:val="hybridMultilevel"/>
    <w:tmpl w:val="F0B4BE96"/>
    <w:lvl w:ilvl="0" w:tplc="5E0C8B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922F67"/>
    <w:multiLevelType w:val="hybridMultilevel"/>
    <w:tmpl w:val="792AD254"/>
    <w:lvl w:ilvl="0" w:tplc="5E0C8B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594580"/>
    <w:multiLevelType w:val="hybridMultilevel"/>
    <w:tmpl w:val="E13086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0703E4"/>
    <w:multiLevelType w:val="hybridMultilevel"/>
    <w:tmpl w:val="79623530"/>
    <w:lvl w:ilvl="0" w:tplc="5E0C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041C5"/>
    <w:multiLevelType w:val="hybridMultilevel"/>
    <w:tmpl w:val="CFF47532"/>
    <w:lvl w:ilvl="0" w:tplc="5E0C8B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A55CE5"/>
    <w:multiLevelType w:val="hybridMultilevel"/>
    <w:tmpl w:val="1DA80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E62EF"/>
    <w:multiLevelType w:val="hybridMultilevel"/>
    <w:tmpl w:val="85C20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779D6"/>
    <w:multiLevelType w:val="hybridMultilevel"/>
    <w:tmpl w:val="C37AC3D6"/>
    <w:lvl w:ilvl="0" w:tplc="5E0C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41D77"/>
    <w:multiLevelType w:val="hybridMultilevel"/>
    <w:tmpl w:val="25EE64EC"/>
    <w:lvl w:ilvl="0" w:tplc="5E0C8B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1524C8"/>
    <w:multiLevelType w:val="hybridMultilevel"/>
    <w:tmpl w:val="592C4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A1E36"/>
    <w:multiLevelType w:val="hybridMultilevel"/>
    <w:tmpl w:val="51B2B4B4"/>
    <w:lvl w:ilvl="0" w:tplc="5E0C8B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12D24E8"/>
    <w:multiLevelType w:val="hybridMultilevel"/>
    <w:tmpl w:val="23B2CCC0"/>
    <w:lvl w:ilvl="0" w:tplc="5E0C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5755E"/>
    <w:multiLevelType w:val="hybridMultilevel"/>
    <w:tmpl w:val="C078461E"/>
    <w:lvl w:ilvl="0" w:tplc="5E0C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71EE3"/>
    <w:multiLevelType w:val="hybridMultilevel"/>
    <w:tmpl w:val="6622A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15B27B6"/>
    <w:multiLevelType w:val="hybridMultilevel"/>
    <w:tmpl w:val="3370962C"/>
    <w:lvl w:ilvl="0" w:tplc="5E0C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D3991"/>
    <w:multiLevelType w:val="hybridMultilevel"/>
    <w:tmpl w:val="64F0BA9C"/>
    <w:lvl w:ilvl="0" w:tplc="5E0C8B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EAC0E0A"/>
    <w:multiLevelType w:val="hybridMultilevel"/>
    <w:tmpl w:val="A7224E48"/>
    <w:lvl w:ilvl="0" w:tplc="5E0C8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C2D3C"/>
    <w:multiLevelType w:val="hybridMultilevel"/>
    <w:tmpl w:val="DD6CF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5"/>
  </w:num>
  <w:num w:numId="5">
    <w:abstractNumId w:val="8"/>
  </w:num>
  <w:num w:numId="6">
    <w:abstractNumId w:val="0"/>
  </w:num>
  <w:num w:numId="7">
    <w:abstractNumId w:val="6"/>
  </w:num>
  <w:num w:numId="8">
    <w:abstractNumId w:val="12"/>
  </w:num>
  <w:num w:numId="9">
    <w:abstractNumId w:val="16"/>
  </w:num>
  <w:num w:numId="10">
    <w:abstractNumId w:val="14"/>
  </w:num>
  <w:num w:numId="11">
    <w:abstractNumId w:val="7"/>
  </w:num>
  <w:num w:numId="12">
    <w:abstractNumId w:val="3"/>
  </w:num>
  <w:num w:numId="13">
    <w:abstractNumId w:val="9"/>
  </w:num>
  <w:num w:numId="14">
    <w:abstractNumId w:val="5"/>
  </w:num>
  <w:num w:numId="15">
    <w:abstractNumId w:val="17"/>
  </w:num>
  <w:num w:numId="16">
    <w:abstractNumId w:val="11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99"/>
    <w:rsid w:val="000D0B99"/>
    <w:rsid w:val="001566F8"/>
    <w:rsid w:val="005F4E49"/>
    <w:rsid w:val="00926549"/>
    <w:rsid w:val="00A96855"/>
    <w:rsid w:val="00BB0696"/>
    <w:rsid w:val="00FA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50CE"/>
  <w15:chartTrackingRefBased/>
  <w15:docId w15:val="{BD0367F3-33E6-4715-8A94-29667951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B99"/>
  </w:style>
  <w:style w:type="paragraph" w:styleId="1">
    <w:name w:val="heading 1"/>
    <w:basedOn w:val="a"/>
    <w:next w:val="a"/>
    <w:link w:val="10"/>
    <w:uiPriority w:val="9"/>
    <w:qFormat/>
    <w:rsid w:val="000D0B9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B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D0B99"/>
    <w:pPr>
      <w:ind w:left="720"/>
      <w:contextualSpacing/>
    </w:pPr>
  </w:style>
  <w:style w:type="paragraph" w:customStyle="1" w:styleId="2">
    <w:name w:val="Диссертация2"/>
    <w:basedOn w:val="a"/>
    <w:link w:val="20"/>
    <w:qFormat/>
    <w:rsid w:val="000D0B99"/>
    <w:pPr>
      <w:spacing w:after="0" w:line="360" w:lineRule="auto"/>
      <w:ind w:firstLine="567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Диссертация2 Знак"/>
    <w:basedOn w:val="a0"/>
    <w:link w:val="2"/>
    <w:rsid w:val="000D0B9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4">
    <w:name w:val="Table Grid"/>
    <w:basedOn w:val="a1"/>
    <w:uiPriority w:val="39"/>
    <w:rsid w:val="005F4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2023-05-11T22:25:00Z</dcterms:created>
  <dcterms:modified xsi:type="dcterms:W3CDTF">2023-05-11T22:27:00Z</dcterms:modified>
</cp:coreProperties>
</file>