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D8E" w:rsidRPr="00A63D8E" w:rsidRDefault="00A63D8E" w:rsidP="00A63D8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63D8E">
        <w:rPr>
          <w:rFonts w:ascii="Arial" w:eastAsia="Times New Roman" w:hAnsi="Arial" w:cs="Arial"/>
          <w:b/>
          <w:bCs/>
          <w:color w:val="FFFFFF"/>
          <w:kern w:val="36"/>
          <w:sz w:val="36"/>
          <w:szCs w:val="36"/>
          <w:lang w:eastAsia="ru-RU"/>
        </w:rPr>
        <w:t>Введение</w:t>
      </w:r>
    </w:p>
    <w:p w:rsidR="00A63D8E" w:rsidRPr="00A63D8E" w:rsidRDefault="00A63D8E" w:rsidP="00A63D8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Задания и методические указания на выполнение расчетно-графических работ охватывают основные разделы курса «Компьютерные технологии в проектировании».</w:t>
      </w:r>
    </w:p>
    <w:p w:rsidR="00A63D8E" w:rsidRPr="00A63D8E" w:rsidRDefault="00A63D8E" w:rsidP="00A63D8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Целью расчетно-графических работ является закрепление знаний студентов по основным разделам курса.</w:t>
      </w:r>
    </w:p>
    <w:p w:rsidR="00A63D8E" w:rsidRDefault="00A63D8E" w:rsidP="00A63D8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Общие указания к выполнению расчетно-графических работ</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выполнении заданий необходимо:</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Стремиться к наиболее рациональному порядку решения задач.</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Указать применяемую систему единиц.</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Векторные диаграммы построить с указанием выбранного масштаба.</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Схемы и векторные диаграммы выполнять по ГОСТу.</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Все рисунки, схемы нумеровать согласно ГОСТа с обязательной ссылкой на них в тексте работы.</w:t>
      </w:r>
    </w:p>
    <w:p w:rsidR="00A63D8E" w:rsidRDefault="00A63D8E" w:rsidP="00A63D8E">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Формулы записываются сначала в общем виде, затем подставляются цифры и записывается результат вычислений.</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Контрольно-курсовая работа должна содержать титульный лист, оглавление, шифр варианта задания, исходную и расчетную схемы, а также: исходные данные, текст пояснительной записки, приложения (если требуется), список литературы.</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Решая поставленные задачи, не следует ограничиваться написанием формул и вычислениями, а следует кратко объяснить физическую суть рассматриваемых процессов и по каждому пункту задания привести основные положения и сделать выводы.</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Список используемых источников приводится согласно ГОСТа: автор, его инициалы, название, место издания, издательство, год издания.</w:t>
      </w:r>
    </w:p>
    <w:p w:rsidR="00A63D8E" w:rsidRDefault="00A63D8E" w:rsidP="00A63D8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на расчетно-графическую работу</w:t>
      </w:r>
    </w:p>
    <w:p w:rsidR="00A63D8E" w:rsidRDefault="00A63D8E" w:rsidP="00A63D8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 Цели и задачи расчетно-графической работы</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Цели работы:</w:t>
      </w:r>
    </w:p>
    <w:p w:rsidR="00A63D8E" w:rsidRDefault="00A63D8E" w:rsidP="00A63D8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Изучить основные подходы к проектированию нелинейных электротехнических устройств в МАТЛАБ.</w:t>
      </w:r>
    </w:p>
    <w:p w:rsidR="00A63D8E" w:rsidRDefault="00A63D8E" w:rsidP="00A63D8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Научить студентов моделировать нелинейных электротехнических устройств в МАТЛАБ.</w:t>
      </w:r>
    </w:p>
    <w:p w:rsidR="00A63D8E" w:rsidRDefault="00A63D8E" w:rsidP="00A63D8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Научить студентов проводить численные эксперименты с построенными моделями нелинейных электротехнических устройств в МАТЛАБ.</w:t>
      </w:r>
    </w:p>
    <w:p w:rsidR="00A63D8E" w:rsidRDefault="00A63D8E" w:rsidP="00A63D8E">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Научить навыкам анализа результатов численных экспериментов.</w:t>
      </w:r>
    </w:p>
    <w:p w:rsidR="00A63D8E" w:rsidRDefault="00A63D8E" w:rsidP="00A63D8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 Задание на расчетно-графическую работу</w:t>
      </w:r>
    </w:p>
    <w:p w:rsidR="00A63D8E" w:rsidRDefault="00A63D8E" w:rsidP="00A63D8E">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 заданной </w:t>
      </w:r>
      <w:proofErr w:type="gramStart"/>
      <w:r>
        <w:rPr>
          <w:rFonts w:ascii="Arial" w:hAnsi="Arial" w:cs="Arial"/>
          <w:color w:val="000000"/>
          <w:sz w:val="21"/>
          <w:szCs w:val="21"/>
        </w:rPr>
        <w:t>вольт-амперной</w:t>
      </w:r>
      <w:proofErr w:type="gramEnd"/>
      <w:r>
        <w:rPr>
          <w:rFonts w:ascii="Arial" w:hAnsi="Arial" w:cs="Arial"/>
          <w:color w:val="000000"/>
          <w:sz w:val="21"/>
          <w:szCs w:val="21"/>
        </w:rPr>
        <w:t xml:space="preserve"> или вебер-амперной характеристике электротехнического устройства построить математическую модель преобразования электрических параметров в устройстве.</w:t>
      </w:r>
    </w:p>
    <w:p w:rsidR="00A63D8E" w:rsidRDefault="00A63D8E" w:rsidP="00A63D8E">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По построенной математической модели построить </w:t>
      </w:r>
      <w:proofErr w:type="spellStart"/>
      <w:r>
        <w:rPr>
          <w:rFonts w:ascii="Arial" w:hAnsi="Arial" w:cs="Arial"/>
          <w:color w:val="000000"/>
          <w:sz w:val="21"/>
          <w:szCs w:val="21"/>
        </w:rPr>
        <w:t>Simulink</w:t>
      </w:r>
      <w:proofErr w:type="spellEnd"/>
      <w:r>
        <w:rPr>
          <w:rFonts w:ascii="Arial" w:hAnsi="Arial" w:cs="Arial"/>
          <w:color w:val="000000"/>
          <w:sz w:val="21"/>
          <w:szCs w:val="21"/>
        </w:rPr>
        <w:t>-модель преобразования электрических параметров в устройстве.</w:t>
      </w:r>
    </w:p>
    <w:p w:rsidR="00A63D8E" w:rsidRDefault="00A63D8E" w:rsidP="00A63D8E">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Используя блоки библиотек </w:t>
      </w:r>
      <w:proofErr w:type="spellStart"/>
      <w:r>
        <w:rPr>
          <w:rFonts w:ascii="Arial" w:hAnsi="Arial" w:cs="Arial"/>
          <w:color w:val="000000"/>
          <w:sz w:val="21"/>
          <w:szCs w:val="21"/>
        </w:rPr>
        <w:t>Simulink</w:t>
      </w:r>
      <w:proofErr w:type="spellEnd"/>
      <w:r>
        <w:rPr>
          <w:rFonts w:ascii="Arial" w:hAnsi="Arial" w:cs="Arial"/>
          <w:color w:val="000000"/>
          <w:sz w:val="21"/>
          <w:szCs w:val="21"/>
        </w:rPr>
        <w:t xml:space="preserve"> и </w:t>
      </w:r>
      <w:proofErr w:type="spellStart"/>
      <w:r>
        <w:rPr>
          <w:rFonts w:ascii="Arial" w:hAnsi="Arial" w:cs="Arial"/>
          <w:color w:val="000000"/>
          <w:sz w:val="21"/>
          <w:szCs w:val="21"/>
        </w:rPr>
        <w:t>Sim</w:t>
      </w:r>
      <w:proofErr w:type="spellEnd"/>
      <w:r>
        <w:rPr>
          <w:rFonts w:ascii="Arial" w:hAnsi="Arial" w:cs="Arial"/>
          <w:color w:val="000000"/>
          <w:sz w:val="21"/>
          <w:szCs w:val="21"/>
        </w:rPr>
        <w:t xml:space="preserve"> </w:t>
      </w:r>
      <w:proofErr w:type="spellStart"/>
      <w:r>
        <w:rPr>
          <w:rFonts w:ascii="Arial" w:hAnsi="Arial" w:cs="Arial"/>
          <w:color w:val="000000"/>
          <w:sz w:val="21"/>
          <w:szCs w:val="21"/>
        </w:rPr>
        <w:t>Power</w:t>
      </w:r>
      <w:proofErr w:type="spellEnd"/>
      <w:r>
        <w:rPr>
          <w:rFonts w:ascii="Arial" w:hAnsi="Arial" w:cs="Arial"/>
          <w:color w:val="000000"/>
          <w:sz w:val="21"/>
          <w:szCs w:val="21"/>
        </w:rPr>
        <w:t xml:space="preserve"> </w:t>
      </w:r>
      <w:proofErr w:type="spellStart"/>
      <w:r>
        <w:rPr>
          <w:rFonts w:ascii="Arial" w:hAnsi="Arial" w:cs="Arial"/>
          <w:color w:val="000000"/>
          <w:sz w:val="21"/>
          <w:szCs w:val="21"/>
        </w:rPr>
        <w:t>Systems</w:t>
      </w:r>
      <w:proofErr w:type="spellEnd"/>
      <w:r>
        <w:rPr>
          <w:rFonts w:ascii="Arial" w:hAnsi="Arial" w:cs="Arial"/>
          <w:color w:val="000000"/>
          <w:sz w:val="21"/>
          <w:szCs w:val="21"/>
        </w:rPr>
        <w:t xml:space="preserve">: </w:t>
      </w:r>
      <w:proofErr w:type="spellStart"/>
      <w:r>
        <w:rPr>
          <w:rFonts w:ascii="Arial" w:hAnsi="Arial" w:cs="Arial"/>
          <w:color w:val="000000"/>
          <w:sz w:val="21"/>
          <w:szCs w:val="21"/>
        </w:rPr>
        <w:t>In</w:t>
      </w:r>
      <w:proofErr w:type="spellEnd"/>
      <w:r>
        <w:rPr>
          <w:rFonts w:ascii="Arial" w:hAnsi="Arial" w:cs="Arial"/>
          <w:color w:val="000000"/>
          <w:sz w:val="21"/>
          <w:szCs w:val="21"/>
        </w:rPr>
        <w:t xml:space="preserve">, </w:t>
      </w:r>
      <w:proofErr w:type="spellStart"/>
      <w:r>
        <w:rPr>
          <w:rFonts w:ascii="Arial" w:hAnsi="Arial" w:cs="Arial"/>
          <w:color w:val="000000"/>
          <w:sz w:val="21"/>
          <w:szCs w:val="21"/>
        </w:rPr>
        <w:t>Out</w:t>
      </w:r>
      <w:proofErr w:type="spellEnd"/>
      <w:r>
        <w:rPr>
          <w:rFonts w:ascii="Arial" w:hAnsi="Arial" w:cs="Arial"/>
          <w:color w:val="000000"/>
          <w:sz w:val="21"/>
          <w:szCs w:val="21"/>
        </w:rPr>
        <w:t xml:space="preserve">, </w:t>
      </w:r>
      <w:proofErr w:type="spellStart"/>
      <w:r>
        <w:rPr>
          <w:rFonts w:ascii="Arial" w:hAnsi="Arial" w:cs="Arial"/>
          <w:color w:val="000000"/>
          <w:sz w:val="21"/>
          <w:szCs w:val="21"/>
        </w:rPr>
        <w:t>Voltage</w:t>
      </w:r>
      <w:proofErr w:type="spellEnd"/>
      <w:r>
        <w:rPr>
          <w:rFonts w:ascii="Arial" w:hAnsi="Arial" w:cs="Arial"/>
          <w:color w:val="000000"/>
          <w:sz w:val="21"/>
          <w:szCs w:val="21"/>
        </w:rPr>
        <w:t xml:space="preserve"> </w:t>
      </w:r>
      <w:proofErr w:type="spellStart"/>
      <w:r>
        <w:rPr>
          <w:rFonts w:ascii="Arial" w:hAnsi="Arial" w:cs="Arial"/>
          <w:color w:val="000000"/>
          <w:sz w:val="21"/>
          <w:szCs w:val="21"/>
        </w:rPr>
        <w:t>Measurement</w:t>
      </w:r>
      <w:proofErr w:type="spellEnd"/>
      <w:r>
        <w:rPr>
          <w:rFonts w:ascii="Arial" w:hAnsi="Arial" w:cs="Arial"/>
          <w:color w:val="000000"/>
          <w:sz w:val="21"/>
          <w:szCs w:val="21"/>
        </w:rPr>
        <w:t xml:space="preserve">, </w:t>
      </w:r>
      <w:proofErr w:type="spellStart"/>
      <w:r>
        <w:rPr>
          <w:rFonts w:ascii="Arial" w:hAnsi="Arial" w:cs="Arial"/>
          <w:color w:val="000000"/>
          <w:sz w:val="21"/>
          <w:szCs w:val="21"/>
        </w:rPr>
        <w:t>Controled</w:t>
      </w:r>
      <w:proofErr w:type="spellEnd"/>
      <w:r>
        <w:rPr>
          <w:rFonts w:ascii="Arial" w:hAnsi="Arial" w:cs="Arial"/>
          <w:color w:val="000000"/>
          <w:sz w:val="21"/>
          <w:szCs w:val="21"/>
        </w:rPr>
        <w:t xml:space="preserve"> </w:t>
      </w:r>
      <w:proofErr w:type="spellStart"/>
      <w:r>
        <w:rPr>
          <w:rFonts w:ascii="Arial" w:hAnsi="Arial" w:cs="Arial"/>
          <w:color w:val="000000"/>
          <w:sz w:val="21"/>
          <w:szCs w:val="21"/>
        </w:rPr>
        <w:t>Current</w:t>
      </w:r>
      <w:proofErr w:type="spellEnd"/>
      <w:r>
        <w:rPr>
          <w:rFonts w:ascii="Arial" w:hAnsi="Arial" w:cs="Arial"/>
          <w:color w:val="000000"/>
          <w:sz w:val="21"/>
          <w:szCs w:val="21"/>
        </w:rPr>
        <w:t xml:space="preserve"> </w:t>
      </w:r>
      <w:proofErr w:type="spellStart"/>
      <w:r>
        <w:rPr>
          <w:rFonts w:ascii="Arial" w:hAnsi="Arial" w:cs="Arial"/>
          <w:color w:val="000000"/>
          <w:sz w:val="21"/>
          <w:szCs w:val="21"/>
        </w:rPr>
        <w:t>Source</w:t>
      </w:r>
      <w:proofErr w:type="spellEnd"/>
      <w:r>
        <w:rPr>
          <w:rFonts w:ascii="Arial" w:hAnsi="Arial" w:cs="Arial"/>
          <w:color w:val="000000"/>
          <w:sz w:val="21"/>
          <w:szCs w:val="21"/>
        </w:rPr>
        <w:t xml:space="preserve">, </w:t>
      </w:r>
      <w:proofErr w:type="spellStart"/>
      <w:r>
        <w:rPr>
          <w:rFonts w:ascii="Arial" w:hAnsi="Arial" w:cs="Arial"/>
          <w:color w:val="000000"/>
          <w:sz w:val="21"/>
          <w:szCs w:val="21"/>
        </w:rPr>
        <w:t>Series</w:t>
      </w:r>
      <w:proofErr w:type="spellEnd"/>
      <w:r>
        <w:rPr>
          <w:rFonts w:ascii="Arial" w:hAnsi="Arial" w:cs="Arial"/>
          <w:color w:val="000000"/>
          <w:sz w:val="21"/>
          <w:szCs w:val="21"/>
        </w:rPr>
        <w:t xml:space="preserve"> RLC </w:t>
      </w:r>
      <w:proofErr w:type="spellStart"/>
      <w:r>
        <w:rPr>
          <w:rFonts w:ascii="Arial" w:hAnsi="Arial" w:cs="Arial"/>
          <w:color w:val="000000"/>
          <w:sz w:val="21"/>
          <w:szCs w:val="21"/>
        </w:rPr>
        <w:t>Branch</w:t>
      </w:r>
      <w:proofErr w:type="spellEnd"/>
      <w:r>
        <w:rPr>
          <w:rFonts w:ascii="Arial" w:hAnsi="Arial" w:cs="Arial"/>
          <w:color w:val="000000"/>
          <w:sz w:val="21"/>
          <w:szCs w:val="21"/>
        </w:rPr>
        <w:t xml:space="preserve">, </w:t>
      </w:r>
      <w:proofErr w:type="spellStart"/>
      <w:r>
        <w:rPr>
          <w:rFonts w:ascii="Arial" w:hAnsi="Arial" w:cs="Arial"/>
          <w:color w:val="000000"/>
          <w:sz w:val="21"/>
          <w:szCs w:val="21"/>
        </w:rPr>
        <w:t>Fcn</w:t>
      </w:r>
      <w:proofErr w:type="spellEnd"/>
      <w:r>
        <w:rPr>
          <w:rFonts w:ascii="Arial" w:hAnsi="Arial" w:cs="Arial"/>
          <w:color w:val="000000"/>
          <w:sz w:val="21"/>
          <w:szCs w:val="21"/>
        </w:rPr>
        <w:t xml:space="preserve">, </w:t>
      </w:r>
      <w:proofErr w:type="spellStart"/>
      <w:r>
        <w:rPr>
          <w:rFonts w:ascii="Arial" w:hAnsi="Arial" w:cs="Arial"/>
          <w:color w:val="000000"/>
          <w:sz w:val="21"/>
          <w:szCs w:val="21"/>
        </w:rPr>
        <w:t>Transfer</w:t>
      </w:r>
      <w:proofErr w:type="spellEnd"/>
      <w:r>
        <w:rPr>
          <w:rFonts w:ascii="Arial" w:hAnsi="Arial" w:cs="Arial"/>
          <w:color w:val="000000"/>
          <w:sz w:val="21"/>
          <w:szCs w:val="21"/>
        </w:rPr>
        <w:t xml:space="preserve"> </w:t>
      </w:r>
      <w:proofErr w:type="spellStart"/>
      <w:r>
        <w:rPr>
          <w:rFonts w:ascii="Arial" w:hAnsi="Arial" w:cs="Arial"/>
          <w:color w:val="000000"/>
          <w:sz w:val="21"/>
          <w:szCs w:val="21"/>
        </w:rPr>
        <w:t>Fcn</w:t>
      </w:r>
      <w:proofErr w:type="spellEnd"/>
      <w:r>
        <w:rPr>
          <w:rFonts w:ascii="Arial" w:hAnsi="Arial" w:cs="Arial"/>
          <w:color w:val="000000"/>
          <w:sz w:val="21"/>
          <w:szCs w:val="21"/>
        </w:rPr>
        <w:t xml:space="preserve">, </w:t>
      </w:r>
      <w:proofErr w:type="spellStart"/>
      <w:r>
        <w:rPr>
          <w:rFonts w:ascii="Arial" w:hAnsi="Arial" w:cs="Arial"/>
          <w:color w:val="000000"/>
          <w:sz w:val="21"/>
          <w:szCs w:val="21"/>
        </w:rPr>
        <w:t>Integrator</w:t>
      </w:r>
      <w:proofErr w:type="spellEnd"/>
      <w:r>
        <w:rPr>
          <w:rFonts w:ascii="Arial" w:hAnsi="Arial" w:cs="Arial"/>
          <w:color w:val="000000"/>
          <w:sz w:val="21"/>
          <w:szCs w:val="21"/>
        </w:rPr>
        <w:t xml:space="preserve">, построить </w:t>
      </w:r>
      <w:proofErr w:type="spellStart"/>
      <w:r>
        <w:rPr>
          <w:rFonts w:ascii="Arial" w:hAnsi="Arial" w:cs="Arial"/>
          <w:color w:val="000000"/>
          <w:sz w:val="21"/>
          <w:szCs w:val="21"/>
        </w:rPr>
        <w:t>Simulink</w:t>
      </w:r>
      <w:proofErr w:type="spellEnd"/>
      <w:r>
        <w:rPr>
          <w:rFonts w:ascii="Arial" w:hAnsi="Arial" w:cs="Arial"/>
          <w:color w:val="000000"/>
          <w:sz w:val="21"/>
          <w:szCs w:val="21"/>
        </w:rPr>
        <w:t>-модель электротехнического устройства.</w:t>
      </w:r>
    </w:p>
    <w:p w:rsidR="00A63D8E" w:rsidRDefault="00A63D8E" w:rsidP="00A63D8E">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Провести ряд численных экспериментов с построенной </w:t>
      </w:r>
      <w:proofErr w:type="spellStart"/>
      <w:r>
        <w:rPr>
          <w:rFonts w:ascii="Arial" w:hAnsi="Arial" w:cs="Arial"/>
          <w:color w:val="000000"/>
          <w:sz w:val="21"/>
          <w:szCs w:val="21"/>
        </w:rPr>
        <w:t>Simulink</w:t>
      </w:r>
      <w:proofErr w:type="spellEnd"/>
      <w:r>
        <w:rPr>
          <w:rFonts w:ascii="Arial" w:hAnsi="Arial" w:cs="Arial"/>
          <w:color w:val="000000"/>
          <w:sz w:val="21"/>
          <w:szCs w:val="21"/>
        </w:rPr>
        <w:t>-моделью.</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 xml:space="preserve">Расчетно-графическая работа состоит из пояснительной записки и графической части, представляющей собой </w:t>
      </w:r>
      <w:proofErr w:type="spellStart"/>
      <w:r>
        <w:rPr>
          <w:rFonts w:ascii="Arial" w:hAnsi="Arial" w:cs="Arial"/>
          <w:color w:val="000000"/>
          <w:sz w:val="21"/>
          <w:szCs w:val="21"/>
        </w:rPr>
        <w:t>Simulink</w:t>
      </w:r>
      <w:proofErr w:type="spellEnd"/>
      <w:r>
        <w:rPr>
          <w:rFonts w:ascii="Arial" w:hAnsi="Arial" w:cs="Arial"/>
          <w:color w:val="000000"/>
          <w:sz w:val="21"/>
          <w:szCs w:val="21"/>
        </w:rPr>
        <w:t>-схемы преобразования электрических параметров в устройстве и электротехнического устройства.</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Индивидуальные задания на выполнение расчетно-графической работы представлены в таблице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04"/>
        <w:gridCol w:w="913"/>
        <w:gridCol w:w="989"/>
        <w:gridCol w:w="525"/>
        <w:gridCol w:w="3897"/>
        <w:gridCol w:w="1793"/>
        <w:gridCol w:w="1479"/>
      </w:tblGrid>
      <w:tr w:rsidR="00A63D8E" w:rsidTr="00A63D8E">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rsidR="00A63D8E" w:rsidRDefault="00A63D8E">
            <w:pPr>
              <w:spacing w:before="100" w:beforeAutospacing="1" w:after="150" w:line="288" w:lineRule="atLeast"/>
              <w:jc w:val="right"/>
              <w:rPr>
                <w:i/>
                <w:iCs/>
                <w:sz w:val="21"/>
                <w:szCs w:val="21"/>
              </w:rPr>
            </w:pPr>
            <w:proofErr w:type="spellStart"/>
            <w:r>
              <w:rPr>
                <w:i/>
                <w:iCs/>
                <w:sz w:val="21"/>
                <w:szCs w:val="21"/>
              </w:rPr>
              <w:t>Таблиа</w:t>
            </w:r>
            <w:proofErr w:type="spellEnd"/>
            <w:r>
              <w:rPr>
                <w:i/>
                <w:iCs/>
                <w:sz w:val="21"/>
                <w:szCs w:val="21"/>
              </w:rPr>
              <w:t xml:space="preserve"> 1 – Варианты заданий на выполнение расчетно-графической работы</w:t>
            </w:r>
          </w:p>
        </w:tc>
      </w:tr>
      <w:tr w:rsidR="00A63D8E" w:rsidTr="00A63D8E">
        <w:trPr>
          <w:tblCellSpacing w:w="15" w:type="dxa"/>
        </w:trPr>
        <w:tc>
          <w:tcPr>
            <w:tcW w:w="0" w:type="auto"/>
            <w:shd w:val="clear" w:color="auto" w:fill="87CEFA"/>
            <w:tcMar>
              <w:top w:w="105" w:type="dxa"/>
              <w:left w:w="15" w:type="dxa"/>
              <w:bottom w:w="105" w:type="dxa"/>
              <w:right w:w="15" w:type="dxa"/>
            </w:tcMar>
            <w:vAlign w:val="center"/>
            <w:hideMark/>
          </w:tcPr>
          <w:p w:rsidR="00A63D8E" w:rsidRDefault="00A63D8E">
            <w:pPr>
              <w:spacing w:before="100" w:beforeAutospacing="1" w:after="150" w:line="288" w:lineRule="atLeast"/>
              <w:jc w:val="center"/>
              <w:rPr>
                <w:b/>
                <w:bCs/>
                <w:color w:val="981917"/>
                <w:sz w:val="21"/>
                <w:szCs w:val="21"/>
              </w:rPr>
            </w:pPr>
            <w:r>
              <w:rPr>
                <w:b/>
                <w:bCs/>
                <w:color w:val="981917"/>
                <w:sz w:val="21"/>
                <w:szCs w:val="21"/>
              </w:rPr>
              <w:t>Вариант</w:t>
            </w:r>
          </w:p>
        </w:tc>
        <w:tc>
          <w:tcPr>
            <w:tcW w:w="0" w:type="auto"/>
            <w:gridSpan w:val="6"/>
            <w:shd w:val="clear" w:color="auto" w:fill="87CEFA"/>
            <w:tcMar>
              <w:top w:w="105" w:type="dxa"/>
              <w:left w:w="15" w:type="dxa"/>
              <w:bottom w:w="105" w:type="dxa"/>
              <w:right w:w="15" w:type="dxa"/>
            </w:tcMar>
            <w:vAlign w:val="center"/>
            <w:hideMark/>
          </w:tcPr>
          <w:p w:rsidR="00A63D8E" w:rsidRDefault="00A63D8E">
            <w:pPr>
              <w:spacing w:before="100" w:beforeAutospacing="1" w:after="150" w:line="288" w:lineRule="atLeast"/>
              <w:jc w:val="center"/>
              <w:rPr>
                <w:b/>
                <w:bCs/>
                <w:color w:val="981917"/>
                <w:sz w:val="21"/>
                <w:szCs w:val="21"/>
              </w:rPr>
            </w:pPr>
            <w:r>
              <w:rPr>
                <w:b/>
                <w:bCs/>
                <w:color w:val="981917"/>
                <w:sz w:val="21"/>
                <w:szCs w:val="21"/>
              </w:rPr>
              <w:t>Тип нелинейного элемента (параметры схемы замещения)</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150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36</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35</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38</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 с фильтром</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Постоянная времени фильтра, с</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6</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40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r>
              <w:rPr>
                <w:sz w:val="18"/>
                <w:szCs w:val="18"/>
                <w:vertAlign w:val="superscript"/>
              </w:rPr>
              <w:t>-7</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6,6</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Насыщающийся реактор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реактора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R</w:t>
            </w:r>
            <w:r>
              <w:rPr>
                <w:sz w:val="18"/>
                <w:szCs w:val="18"/>
              </w:rPr>
              <w:t>, ом</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a</w:t>
            </w:r>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b</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80</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30000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4</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110</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 с фильтром</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Постоянная времени фильтра, с</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180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220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28</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r>
              <w:rPr>
                <w:sz w:val="18"/>
                <w:szCs w:val="18"/>
                <w:vertAlign w:val="superscript"/>
              </w:rPr>
              <w:t>-8</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200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6</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Насыщающийся реактор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реактора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R</w:t>
            </w:r>
            <w:r>
              <w:rPr>
                <w:sz w:val="18"/>
                <w:szCs w:val="18"/>
              </w:rPr>
              <w:t>, ом</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a</w:t>
            </w:r>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b</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100</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50000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36</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7</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25</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8</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 с фильтром</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Постоянная времени фильтра, с</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18</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33</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r>
              <w:rPr>
                <w:sz w:val="18"/>
                <w:szCs w:val="18"/>
                <w:vertAlign w:val="superscript"/>
              </w:rPr>
              <w:t>-6</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9</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Насыщающийся реактор</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реактора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FAEBD7"/>
            <w:vAlign w:val="center"/>
            <w:hideMark/>
          </w:tcPr>
          <w:p w:rsidR="00A63D8E" w:rsidRDefault="00A63D8E">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R</w:t>
            </w:r>
            <w:r>
              <w:rPr>
                <w:sz w:val="18"/>
                <w:szCs w:val="18"/>
              </w:rPr>
              <w:t>, ом</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a</w:t>
            </w:r>
          </w:p>
        </w:tc>
        <w:tc>
          <w:tcPr>
            <w:tcW w:w="0" w:type="auto"/>
            <w:gridSpan w:val="2"/>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b</w:t>
            </w:r>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30</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40000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r w:rsidR="00A63D8E" w:rsidTr="00A63D8E">
        <w:trPr>
          <w:tblCellSpacing w:w="15" w:type="dxa"/>
        </w:trPr>
        <w:tc>
          <w:tcPr>
            <w:tcW w:w="0" w:type="auto"/>
            <w:vMerge w:val="restart"/>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p>
        </w:tc>
        <w:tc>
          <w:tcPr>
            <w:tcW w:w="0" w:type="auto"/>
            <w:gridSpan w:val="6"/>
            <w:shd w:val="clear" w:color="auto" w:fill="FAEBD7"/>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Нелинейный резистор с фильтром</w:t>
            </w:r>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gridSpan w:val="4"/>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нелинейного резистора</w:t>
            </w:r>
          </w:p>
        </w:tc>
        <w:tc>
          <w:tcPr>
            <w:tcW w:w="0" w:type="auto"/>
            <w:gridSpan w:val="2"/>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Параметры источника питания</w:t>
            </w:r>
          </w:p>
        </w:tc>
      </w:tr>
      <w:tr w:rsidR="00A63D8E" w:rsidTr="00A63D8E">
        <w:trPr>
          <w:tblCellSpacing w:w="15" w:type="dxa"/>
        </w:trPr>
        <w:tc>
          <w:tcPr>
            <w:tcW w:w="0" w:type="auto"/>
            <w:vMerge/>
            <w:shd w:val="clear" w:color="auto" w:fill="BFE9FF"/>
            <w:vAlign w:val="center"/>
            <w:hideMark/>
          </w:tcPr>
          <w:p w:rsidR="00A63D8E" w:rsidRDefault="00A63D8E">
            <w:pPr>
              <w:spacing w:before="100" w:beforeAutospacing="1" w:after="150" w:line="288" w:lineRule="atLeast"/>
              <w:rPr>
                <w:sz w:val="18"/>
                <w:szCs w:val="18"/>
              </w:rPr>
            </w:pPr>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I</w:t>
            </w:r>
            <w:r>
              <w:rPr>
                <w:sz w:val="18"/>
                <w:szCs w:val="18"/>
                <w:vertAlign w:val="subscript"/>
              </w:rPr>
              <w:t>0</w:t>
            </w:r>
            <w:r>
              <w:rPr>
                <w:sz w:val="18"/>
                <w:szCs w:val="18"/>
              </w:rPr>
              <w:t>, А</w:t>
            </w:r>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vertAlign w:val="subscript"/>
              </w:rPr>
              <w:t>0</w:t>
            </w:r>
            <w:r>
              <w:rPr>
                <w:sz w:val="18"/>
                <w:szCs w:val="18"/>
              </w:rPr>
              <w:t xml:space="preserve">, </w:t>
            </w:r>
            <w:proofErr w:type="spellStart"/>
            <w:r>
              <w:rPr>
                <w:sz w:val="18"/>
                <w:szCs w:val="18"/>
              </w:rPr>
              <w:t>кВ</w:t>
            </w:r>
            <w:proofErr w:type="spellEnd"/>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α</w:t>
            </w:r>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Постоянная времени фильтра, с</w:t>
            </w:r>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U</w:t>
            </w:r>
            <w:r>
              <w:rPr>
                <w:sz w:val="18"/>
                <w:szCs w:val="18"/>
              </w:rPr>
              <w:t xml:space="preserve">, </w:t>
            </w:r>
            <w:proofErr w:type="spellStart"/>
            <w:r>
              <w:rPr>
                <w:sz w:val="18"/>
                <w:szCs w:val="18"/>
              </w:rPr>
              <w:t>кВ</w:t>
            </w:r>
            <w:proofErr w:type="spellEnd"/>
          </w:p>
        </w:tc>
        <w:tc>
          <w:tcPr>
            <w:tcW w:w="0" w:type="auto"/>
            <w:shd w:val="clear" w:color="auto" w:fill="BFE9FF"/>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rStyle w:val="form"/>
                <w:i/>
                <w:iCs/>
                <w:color w:val="000000"/>
                <w:sz w:val="26"/>
                <w:szCs w:val="26"/>
              </w:rPr>
              <w:t>f</w:t>
            </w:r>
            <w:r>
              <w:rPr>
                <w:sz w:val="18"/>
                <w:szCs w:val="18"/>
              </w:rPr>
              <w:t xml:space="preserve">, </w:t>
            </w:r>
            <w:proofErr w:type="spellStart"/>
            <w:r>
              <w:rPr>
                <w:sz w:val="18"/>
                <w:szCs w:val="18"/>
              </w:rPr>
              <w:t>гц</w:t>
            </w:r>
            <w:proofErr w:type="spellEnd"/>
          </w:p>
        </w:tc>
      </w:tr>
      <w:tr w:rsidR="00A63D8E" w:rsidTr="00A63D8E">
        <w:trPr>
          <w:tblCellSpacing w:w="15" w:type="dxa"/>
        </w:trPr>
        <w:tc>
          <w:tcPr>
            <w:tcW w:w="0" w:type="auto"/>
            <w:vMerge/>
            <w:shd w:val="clear" w:color="auto" w:fill="FAF0E6"/>
            <w:vAlign w:val="center"/>
            <w:hideMark/>
          </w:tcPr>
          <w:p w:rsidR="00A63D8E" w:rsidRDefault="00A63D8E">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230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30</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51</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10</w:t>
            </w:r>
            <w:r>
              <w:rPr>
                <w:sz w:val="18"/>
                <w:szCs w:val="18"/>
                <w:vertAlign w:val="superscript"/>
              </w:rPr>
              <w:t>-8</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36</w:t>
            </w:r>
          </w:p>
        </w:tc>
        <w:tc>
          <w:tcPr>
            <w:tcW w:w="0" w:type="auto"/>
            <w:shd w:val="clear" w:color="auto" w:fill="FAF0E6"/>
            <w:tcMar>
              <w:top w:w="30" w:type="dxa"/>
              <w:left w:w="75" w:type="dxa"/>
              <w:bottom w:w="30" w:type="dxa"/>
              <w:right w:w="75" w:type="dxa"/>
            </w:tcMar>
            <w:vAlign w:val="center"/>
            <w:hideMark/>
          </w:tcPr>
          <w:p w:rsidR="00A63D8E" w:rsidRDefault="00A63D8E">
            <w:pPr>
              <w:spacing w:before="100" w:beforeAutospacing="1" w:after="150" w:line="288" w:lineRule="atLeast"/>
              <w:jc w:val="center"/>
              <w:rPr>
                <w:sz w:val="18"/>
                <w:szCs w:val="18"/>
              </w:rPr>
            </w:pPr>
            <w:r>
              <w:rPr>
                <w:sz w:val="18"/>
                <w:szCs w:val="18"/>
              </w:rPr>
              <w:t>50</w:t>
            </w:r>
          </w:p>
        </w:tc>
      </w:tr>
    </w:tbl>
    <w:p w:rsidR="005B7B8A" w:rsidRDefault="005B7B8A"/>
    <w:p w:rsidR="00A63D8E" w:rsidRPr="00A63D8E" w:rsidRDefault="00A63D8E" w:rsidP="00A63D8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A63D8E">
        <w:rPr>
          <w:rFonts w:ascii="Arial" w:eastAsia="Times New Roman" w:hAnsi="Arial" w:cs="Arial"/>
          <w:b/>
          <w:bCs/>
          <w:color w:val="FFFFFF"/>
          <w:kern w:val="36"/>
          <w:sz w:val="36"/>
          <w:szCs w:val="36"/>
          <w:lang w:eastAsia="ru-RU"/>
        </w:rPr>
        <w:t>Требования, предъявляемые к оформлению расчетно-графической работы</w:t>
      </w:r>
    </w:p>
    <w:p w:rsidR="00A63D8E" w:rsidRPr="00A63D8E" w:rsidRDefault="00A63D8E" w:rsidP="00A63D8E">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Пояснительная записка на листах белой бумаги формата А4 на одной стороне листа с рамкой и основной надписью (</w:t>
      </w:r>
      <w:hyperlink r:id="rId5" w:history="1">
        <w:r w:rsidRPr="00A63D8E">
          <w:rPr>
            <w:rFonts w:ascii="Arial" w:eastAsia="Times New Roman" w:hAnsi="Arial" w:cs="Arial"/>
            <w:color w:val="551A8B"/>
            <w:sz w:val="21"/>
            <w:szCs w:val="21"/>
            <w:u w:val="single"/>
            <w:lang w:eastAsia="ru-RU"/>
          </w:rPr>
          <w:t>ГОСТ 2.104-2006 Единая система конструкторской документации (ЕСКД) прил. Б</w:t>
        </w:r>
      </w:hyperlink>
      <w:r w:rsidRPr="00A63D8E">
        <w:rPr>
          <w:rFonts w:ascii="Arial" w:eastAsia="Times New Roman" w:hAnsi="Arial" w:cs="Arial"/>
          <w:color w:val="000000"/>
          <w:sz w:val="21"/>
          <w:szCs w:val="21"/>
          <w:lang w:eastAsia="ru-RU"/>
        </w:rPr>
        <w:t>). Пояснительная записка выполняется машинописным способом с высотой букв и цифр не менее 2,5 мм, расстояние между строками 8-10 мм.</w:t>
      </w:r>
    </w:p>
    <w:p w:rsidR="00A63D8E" w:rsidRPr="00A63D8E" w:rsidRDefault="00A63D8E" w:rsidP="00A63D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Текст пояснительной записки рекомендуется разбивать на разделы и подразделы, по ходу текста делать ссылки на использованную литературу. Следует приводить таблицы и иллюстрации для пояснения текста, используя сквозную нумерацию. В тексте допускается применять общепринятые сокращения слов в соответствии с </w:t>
      </w:r>
      <w:hyperlink r:id="rId6" w:history="1">
        <w:r w:rsidRPr="00A63D8E">
          <w:rPr>
            <w:rFonts w:ascii="Arial" w:eastAsia="Times New Roman" w:hAnsi="Arial" w:cs="Arial"/>
            <w:color w:val="551A8B"/>
            <w:sz w:val="21"/>
            <w:szCs w:val="21"/>
            <w:u w:val="single"/>
            <w:lang w:eastAsia="ru-RU"/>
          </w:rPr>
          <w:t>ГОСТ 7.12-93 СИБИД. Библиографическая запись. Сокращение слов на русском языке. Общие требования и правила</w:t>
        </w:r>
      </w:hyperlink>
      <w:r w:rsidRPr="00A63D8E">
        <w:rPr>
          <w:rFonts w:ascii="Arial" w:eastAsia="Times New Roman" w:hAnsi="Arial" w:cs="Arial"/>
          <w:color w:val="000000"/>
          <w:sz w:val="21"/>
          <w:szCs w:val="21"/>
          <w:lang w:eastAsia="ru-RU"/>
        </w:rPr>
        <w:t> и </w:t>
      </w:r>
      <w:hyperlink r:id="rId7" w:history="1">
        <w:r w:rsidRPr="00A63D8E">
          <w:rPr>
            <w:rFonts w:ascii="Arial" w:eastAsia="Times New Roman" w:hAnsi="Arial" w:cs="Arial"/>
            <w:color w:val="551A8B"/>
            <w:sz w:val="21"/>
            <w:szCs w:val="21"/>
            <w:u w:val="single"/>
            <w:lang w:eastAsia="ru-RU"/>
          </w:rPr>
          <w:t>ГОСТ Р 2.106-2019 Единая система конструкторской документации (ЕСКД). Текстовые документы</w:t>
        </w:r>
      </w:hyperlink>
      <w:r w:rsidRPr="00A63D8E">
        <w:rPr>
          <w:rFonts w:ascii="Arial" w:eastAsia="Times New Roman" w:hAnsi="Arial" w:cs="Arial"/>
          <w:color w:val="000000"/>
          <w:sz w:val="21"/>
          <w:szCs w:val="21"/>
          <w:lang w:eastAsia="ru-RU"/>
        </w:rPr>
        <w:t>.</w:t>
      </w:r>
    </w:p>
    <w:p w:rsidR="00A63D8E" w:rsidRPr="00A63D8E" w:rsidRDefault="00A63D8E" w:rsidP="00A63D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Завершается пояснительная записка списком использованной литературы. Согласно </w:t>
      </w:r>
      <w:hyperlink r:id="rId8" w:history="1">
        <w:r w:rsidRPr="00A63D8E">
          <w:rPr>
            <w:rFonts w:ascii="Arial" w:eastAsia="Times New Roman" w:hAnsi="Arial" w:cs="Arial"/>
            <w:color w:val="551A8B"/>
            <w:sz w:val="21"/>
            <w:szCs w:val="21"/>
            <w:u w:val="single"/>
            <w:lang w:eastAsia="ru-RU"/>
          </w:rPr>
          <w:t>ГОСТ Р 7.0.100-2018 СИБИД. Библиографическая запись. Библиографическое описание. Общие требования и правила составления</w:t>
        </w:r>
      </w:hyperlink>
      <w:r w:rsidRPr="00A63D8E">
        <w:rPr>
          <w:rFonts w:ascii="Arial" w:eastAsia="Times New Roman" w:hAnsi="Arial" w:cs="Arial"/>
          <w:color w:val="000000"/>
          <w:sz w:val="21"/>
          <w:szCs w:val="21"/>
          <w:lang w:eastAsia="ru-RU"/>
        </w:rPr>
        <w:t> литературу следует располагать в порядке появления ссылок в тексте.</w:t>
      </w:r>
    </w:p>
    <w:p w:rsidR="00A63D8E" w:rsidRPr="00A63D8E" w:rsidRDefault="00A63D8E" w:rsidP="00A63D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Объем пояснительной записки 10–15 страниц печатного текста.</w:t>
      </w:r>
    </w:p>
    <w:p w:rsidR="00A63D8E" w:rsidRPr="00A63D8E" w:rsidRDefault="00A63D8E" w:rsidP="00A63D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Разделы пояснительной записки: титульный лист, оглавление, основная часть, список использованной литературы.</w:t>
      </w:r>
    </w:p>
    <w:p w:rsidR="00A63D8E" w:rsidRPr="00A63D8E" w:rsidRDefault="00A63D8E" w:rsidP="00A63D8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Графическая часть работы выполняется на формате А4, распечатанном на принтере.</w:t>
      </w:r>
    </w:p>
    <w:p w:rsidR="00A63D8E" w:rsidRDefault="00A63D8E" w:rsidP="00A63D8E">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Теоретические и практические рекомендации по выполнению расчетно-графической работы</w:t>
      </w:r>
    </w:p>
    <w:p w:rsidR="00A63D8E" w:rsidRDefault="00A63D8E" w:rsidP="00A63D8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 Модель нелинейного резистора</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Библиотека блоков </w:t>
      </w:r>
      <w:proofErr w:type="spellStart"/>
      <w:r>
        <w:rPr>
          <w:rFonts w:ascii="Arial" w:hAnsi="Arial" w:cs="Arial"/>
          <w:color w:val="000000"/>
          <w:sz w:val="21"/>
          <w:szCs w:val="21"/>
        </w:rPr>
        <w:t>Sim</w:t>
      </w:r>
      <w:proofErr w:type="spellEnd"/>
      <w:r>
        <w:rPr>
          <w:rFonts w:ascii="Arial" w:hAnsi="Arial" w:cs="Arial"/>
          <w:color w:val="000000"/>
          <w:sz w:val="21"/>
          <w:szCs w:val="21"/>
        </w:rPr>
        <w:t xml:space="preserve"> </w:t>
      </w:r>
      <w:proofErr w:type="spellStart"/>
      <w:r>
        <w:rPr>
          <w:rFonts w:ascii="Arial" w:hAnsi="Arial" w:cs="Arial"/>
          <w:color w:val="000000"/>
          <w:sz w:val="21"/>
          <w:szCs w:val="21"/>
        </w:rPr>
        <w:t>Power</w:t>
      </w:r>
      <w:proofErr w:type="spellEnd"/>
      <w:r>
        <w:rPr>
          <w:rFonts w:ascii="Arial" w:hAnsi="Arial" w:cs="Arial"/>
          <w:color w:val="000000"/>
          <w:sz w:val="21"/>
          <w:szCs w:val="21"/>
        </w:rPr>
        <w:t xml:space="preserve"> </w:t>
      </w:r>
      <w:proofErr w:type="spellStart"/>
      <w:r>
        <w:rPr>
          <w:rFonts w:ascii="Arial" w:hAnsi="Arial" w:cs="Arial"/>
          <w:color w:val="000000"/>
          <w:sz w:val="21"/>
          <w:szCs w:val="21"/>
        </w:rPr>
        <w:t>Systems</w:t>
      </w:r>
      <w:proofErr w:type="spellEnd"/>
      <w:r>
        <w:rPr>
          <w:rFonts w:ascii="Arial" w:hAnsi="Arial" w:cs="Arial"/>
          <w:color w:val="000000"/>
          <w:sz w:val="21"/>
          <w:szCs w:val="21"/>
        </w:rPr>
        <w:t xml:space="preserve"> достаточно обширна, однако, иногда требуемая пользователю модель устройства может в ней отсутствовать. Это </w:t>
      </w:r>
      <w:proofErr w:type="gramStart"/>
      <w:r>
        <w:rPr>
          <w:rFonts w:ascii="Arial" w:hAnsi="Arial" w:cs="Arial"/>
          <w:color w:val="000000"/>
          <w:sz w:val="21"/>
          <w:szCs w:val="21"/>
        </w:rPr>
        <w:t>касается например</w:t>
      </w:r>
      <w:proofErr w:type="gramEnd"/>
      <w:r>
        <w:rPr>
          <w:rFonts w:ascii="Arial" w:hAnsi="Arial" w:cs="Arial"/>
          <w:color w:val="000000"/>
          <w:sz w:val="21"/>
          <w:szCs w:val="21"/>
        </w:rPr>
        <w:t xml:space="preserve">, нелинейных резисторов, насыщающихся реакторов, новых типов электродвигателей и т.п. В этом случае пользователь может сам создать нужную модель на основе блоков </w:t>
      </w:r>
      <w:proofErr w:type="spellStart"/>
      <w:r>
        <w:rPr>
          <w:rFonts w:ascii="Arial" w:hAnsi="Arial" w:cs="Arial"/>
          <w:color w:val="000000"/>
          <w:sz w:val="21"/>
          <w:szCs w:val="21"/>
        </w:rPr>
        <w:t>Simulink</w:t>
      </w:r>
      <w:proofErr w:type="spellEnd"/>
      <w:r>
        <w:rPr>
          <w:rFonts w:ascii="Arial" w:hAnsi="Arial" w:cs="Arial"/>
          <w:color w:val="000000"/>
          <w:sz w:val="21"/>
          <w:szCs w:val="21"/>
        </w:rPr>
        <w:t xml:space="preserve"> и блоков SPS. Общая структура модели показана на рисунке 1.</w:t>
      </w:r>
    </w:p>
    <w:p w:rsidR="00A63D8E" w:rsidRDefault="00A63D8E">
      <w:r>
        <w:rPr>
          <w:noProof/>
          <w:lang w:eastAsia="ru-RU"/>
        </w:rPr>
        <w:drawing>
          <wp:inline distT="0" distB="0" distL="0" distR="0" wp14:anchorId="7861EE59" wp14:editId="3D32E529">
            <wp:extent cx="4953000" cy="2828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53000" cy="2828925"/>
                    </a:xfrm>
                    <a:prstGeom prst="rect">
                      <a:avLst/>
                    </a:prstGeom>
                  </pic:spPr>
                </pic:pic>
              </a:graphicData>
            </a:graphic>
          </wp:inline>
        </w:drawing>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На схеме к управляемому источнику тока параллельно подключен измеритель напряжения. Между выходом измерителя напряжения и входом источника тока включена </w:t>
      </w:r>
      <w:proofErr w:type="spellStart"/>
      <w:r w:rsidRPr="00A63D8E">
        <w:rPr>
          <w:rFonts w:ascii="Arial" w:eastAsia="Times New Roman" w:hAnsi="Arial" w:cs="Arial"/>
          <w:color w:val="000000"/>
          <w:sz w:val="21"/>
          <w:szCs w:val="21"/>
          <w:lang w:eastAsia="ru-RU"/>
        </w:rPr>
        <w:t>Simulink</w:t>
      </w:r>
      <w:proofErr w:type="spellEnd"/>
      <w:r w:rsidRPr="00A63D8E">
        <w:rPr>
          <w:rFonts w:ascii="Arial" w:eastAsia="Times New Roman" w:hAnsi="Arial" w:cs="Arial"/>
          <w:color w:val="000000"/>
          <w:sz w:val="21"/>
          <w:szCs w:val="21"/>
          <w:lang w:eastAsia="ru-RU"/>
        </w:rPr>
        <w:t xml:space="preserve">-модель, реализующая нужную </w:t>
      </w:r>
      <w:proofErr w:type="gramStart"/>
      <w:r w:rsidRPr="00A63D8E">
        <w:rPr>
          <w:rFonts w:ascii="Arial" w:eastAsia="Times New Roman" w:hAnsi="Arial" w:cs="Arial"/>
          <w:color w:val="000000"/>
          <w:sz w:val="21"/>
          <w:szCs w:val="21"/>
          <w:lang w:eastAsia="ru-RU"/>
        </w:rPr>
        <w:t>вольт-амперную</w:t>
      </w:r>
      <w:proofErr w:type="gramEnd"/>
      <w:r w:rsidRPr="00A63D8E">
        <w:rPr>
          <w:rFonts w:ascii="Arial" w:eastAsia="Times New Roman" w:hAnsi="Arial" w:cs="Arial"/>
          <w:color w:val="000000"/>
          <w:sz w:val="21"/>
          <w:szCs w:val="21"/>
          <w:lang w:eastAsia="ru-RU"/>
        </w:rPr>
        <w:t xml:space="preserve"> характеристику устройства. Параллельно источнику также подключен развязывающий резистор. Его наличие обусловлено, тем, что большое число блоков SPS выполнено на базе источников тока. При последовательном соединении таких блоков источники тока оказываются включенными последовательно, что недопустимо. Наличие же развязывающего резистора позволяет включать такие блоки последовательно. Величина сопротивления резистора должна выбираться достаточно большой, чтобы его влияние на характеристики создаваемого блока было минимально (обычно его величина для силовых электротехнических блоков выбирается в пределах 500–1000 Ом). Зажимами блока являются входной и выходной порты.</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Таким образом, для создания электротехнического блока пользователь, прежде всего, должен создать обычную </w:t>
      </w:r>
      <w:proofErr w:type="spellStart"/>
      <w:r w:rsidRPr="00A63D8E">
        <w:rPr>
          <w:rFonts w:ascii="Arial" w:eastAsia="Times New Roman" w:hAnsi="Arial" w:cs="Arial"/>
          <w:color w:val="000000"/>
          <w:sz w:val="21"/>
          <w:szCs w:val="21"/>
          <w:lang w:eastAsia="ru-RU"/>
        </w:rPr>
        <w:t>Simulink</w:t>
      </w:r>
      <w:proofErr w:type="spellEnd"/>
      <w:r w:rsidRPr="00A63D8E">
        <w:rPr>
          <w:rFonts w:ascii="Arial" w:eastAsia="Times New Roman" w:hAnsi="Arial" w:cs="Arial"/>
          <w:color w:val="000000"/>
          <w:sz w:val="21"/>
          <w:szCs w:val="21"/>
          <w:lang w:eastAsia="ru-RU"/>
        </w:rPr>
        <w:t xml:space="preserve">-модель, входом которой является сигнал пропорциональный напряжению на зажимах устройства, а выходом сигнал пропорциональный току устройства, а затем использовать эту модель </w:t>
      </w:r>
      <w:proofErr w:type="gramStart"/>
      <w:r w:rsidRPr="00A63D8E">
        <w:rPr>
          <w:rFonts w:ascii="Arial" w:eastAsia="Times New Roman" w:hAnsi="Arial" w:cs="Arial"/>
          <w:color w:val="000000"/>
          <w:sz w:val="21"/>
          <w:szCs w:val="21"/>
          <w:lang w:eastAsia="ru-RU"/>
        </w:rPr>
        <w:t>в схеме</w:t>
      </w:r>
      <w:proofErr w:type="gramEnd"/>
      <w:r w:rsidRPr="00A63D8E">
        <w:rPr>
          <w:rFonts w:ascii="Arial" w:eastAsia="Times New Roman" w:hAnsi="Arial" w:cs="Arial"/>
          <w:color w:val="000000"/>
          <w:sz w:val="21"/>
          <w:szCs w:val="21"/>
          <w:lang w:eastAsia="ru-RU"/>
        </w:rPr>
        <w:t xml:space="preserve"> представленной на рисунке 6. При создании многофазных устройств, как правило, требуется создать модели отдельных фаз, а затем уже включить их по нужной схеме.</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Пусть </w:t>
      </w:r>
      <w:proofErr w:type="gramStart"/>
      <w:r w:rsidRPr="00A63D8E">
        <w:rPr>
          <w:rFonts w:ascii="Arial" w:eastAsia="Times New Roman" w:hAnsi="Arial" w:cs="Arial"/>
          <w:color w:val="000000"/>
          <w:sz w:val="21"/>
          <w:szCs w:val="21"/>
          <w:lang w:eastAsia="ru-RU"/>
        </w:rPr>
        <w:t>вольт-амперная</w:t>
      </w:r>
      <w:proofErr w:type="gramEnd"/>
      <w:r w:rsidRPr="00A63D8E">
        <w:rPr>
          <w:rFonts w:ascii="Arial" w:eastAsia="Times New Roman" w:hAnsi="Arial" w:cs="Arial"/>
          <w:color w:val="000000"/>
          <w:sz w:val="21"/>
          <w:szCs w:val="21"/>
          <w:lang w:eastAsia="ru-RU"/>
        </w:rPr>
        <w:t xml:space="preserve"> характеристика нелинейного резистора задана выражением:</w:t>
      </w:r>
    </w:p>
    <w:p w:rsidR="00A63D8E" w:rsidRDefault="00A63D8E">
      <w:r>
        <w:rPr>
          <w:noProof/>
          <w:lang w:eastAsia="ru-RU"/>
        </w:rPr>
        <w:drawing>
          <wp:inline distT="0" distB="0" distL="0" distR="0" wp14:anchorId="25D91BA4" wp14:editId="17F1C420">
            <wp:extent cx="1295400" cy="733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95400" cy="733425"/>
                    </a:xfrm>
                    <a:prstGeom prst="rect">
                      <a:avLst/>
                    </a:prstGeom>
                  </pic:spPr>
                </pic:pic>
              </a:graphicData>
            </a:graphic>
          </wp:inline>
        </w:drawing>
      </w:r>
    </w:p>
    <w:p w:rsidR="00A63D8E" w:rsidRPr="00A63D8E" w:rsidRDefault="00A63D8E" w:rsidP="00A63D8E">
      <w:pPr>
        <w:spacing w:before="100" w:beforeAutospacing="1" w:after="0"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где </w:t>
      </w:r>
      <w:r w:rsidRPr="00A63D8E">
        <w:rPr>
          <w:rFonts w:ascii="Times New Roman" w:eastAsia="Times New Roman" w:hAnsi="Times New Roman" w:cs="Times New Roman"/>
          <w:i/>
          <w:iCs/>
          <w:color w:val="000000"/>
          <w:sz w:val="26"/>
          <w:szCs w:val="26"/>
          <w:lang w:eastAsia="ru-RU"/>
        </w:rPr>
        <w:t>i</w:t>
      </w:r>
      <w:r w:rsidRPr="00A63D8E">
        <w:rPr>
          <w:rFonts w:ascii="Arial" w:eastAsia="Times New Roman" w:hAnsi="Arial" w:cs="Arial"/>
          <w:color w:val="000000"/>
          <w:sz w:val="21"/>
          <w:szCs w:val="21"/>
          <w:lang w:eastAsia="ru-RU"/>
        </w:rPr>
        <w:t> и </w:t>
      </w:r>
      <w:r w:rsidRPr="00A63D8E">
        <w:rPr>
          <w:rFonts w:ascii="Times New Roman" w:eastAsia="Times New Roman" w:hAnsi="Times New Roman" w:cs="Times New Roman"/>
          <w:i/>
          <w:iCs/>
          <w:color w:val="000000"/>
          <w:sz w:val="26"/>
          <w:szCs w:val="26"/>
          <w:lang w:eastAsia="ru-RU"/>
        </w:rPr>
        <w:t>u</w:t>
      </w:r>
      <w:r w:rsidRPr="00A63D8E">
        <w:rPr>
          <w:rFonts w:ascii="Arial" w:eastAsia="Times New Roman" w:hAnsi="Arial" w:cs="Arial"/>
          <w:color w:val="000000"/>
          <w:sz w:val="21"/>
          <w:szCs w:val="21"/>
          <w:lang w:eastAsia="ru-RU"/>
        </w:rPr>
        <w:t> – мгновенные значения тока и напряжения;</w:t>
      </w:r>
    </w:p>
    <w:p w:rsidR="00A63D8E" w:rsidRPr="00A63D8E" w:rsidRDefault="00A63D8E" w:rsidP="00A63D8E">
      <w:pPr>
        <w:spacing w:after="0" w:line="240" w:lineRule="auto"/>
        <w:ind w:left="150" w:right="150" w:firstLine="397"/>
        <w:jc w:val="both"/>
        <w:rPr>
          <w:rFonts w:ascii="Arial" w:eastAsia="Times New Roman" w:hAnsi="Arial" w:cs="Arial"/>
          <w:color w:val="000000"/>
          <w:sz w:val="21"/>
          <w:szCs w:val="21"/>
          <w:lang w:eastAsia="ru-RU"/>
        </w:rPr>
      </w:pPr>
      <w:r w:rsidRPr="00A63D8E">
        <w:rPr>
          <w:rFonts w:ascii="Times New Roman" w:eastAsia="Times New Roman" w:hAnsi="Times New Roman" w:cs="Times New Roman"/>
          <w:i/>
          <w:iCs/>
          <w:color w:val="000000"/>
          <w:sz w:val="26"/>
          <w:szCs w:val="26"/>
          <w:lang w:eastAsia="ru-RU"/>
        </w:rPr>
        <w:t>U</w:t>
      </w:r>
      <w:r w:rsidRPr="00A63D8E">
        <w:rPr>
          <w:rFonts w:ascii="Arial" w:eastAsia="Times New Roman" w:hAnsi="Arial" w:cs="Arial"/>
          <w:color w:val="000000"/>
          <w:sz w:val="21"/>
          <w:szCs w:val="21"/>
          <w:vertAlign w:val="subscript"/>
          <w:lang w:eastAsia="ru-RU"/>
        </w:rPr>
        <w:t>0</w:t>
      </w:r>
      <w:r w:rsidRPr="00A63D8E">
        <w:rPr>
          <w:rFonts w:ascii="Arial" w:eastAsia="Times New Roman" w:hAnsi="Arial" w:cs="Arial"/>
          <w:color w:val="000000"/>
          <w:sz w:val="21"/>
          <w:szCs w:val="21"/>
          <w:lang w:eastAsia="ru-RU"/>
        </w:rPr>
        <w:t> – пороговое значение напряжения;</w:t>
      </w:r>
    </w:p>
    <w:p w:rsidR="00A63D8E" w:rsidRPr="00A63D8E" w:rsidRDefault="00A63D8E" w:rsidP="00A63D8E">
      <w:pPr>
        <w:spacing w:after="0" w:line="240" w:lineRule="auto"/>
        <w:ind w:left="150" w:right="150" w:firstLine="397"/>
        <w:jc w:val="both"/>
        <w:rPr>
          <w:rFonts w:ascii="Arial" w:eastAsia="Times New Roman" w:hAnsi="Arial" w:cs="Arial"/>
          <w:color w:val="000000"/>
          <w:sz w:val="21"/>
          <w:szCs w:val="21"/>
          <w:lang w:eastAsia="ru-RU"/>
        </w:rPr>
      </w:pPr>
      <w:r w:rsidRPr="00A63D8E">
        <w:rPr>
          <w:rFonts w:ascii="Times New Roman" w:eastAsia="Times New Roman" w:hAnsi="Times New Roman" w:cs="Times New Roman"/>
          <w:i/>
          <w:iCs/>
          <w:color w:val="000000"/>
          <w:sz w:val="26"/>
          <w:szCs w:val="26"/>
          <w:lang w:eastAsia="ru-RU"/>
        </w:rPr>
        <w:t>I</w:t>
      </w:r>
      <w:r w:rsidRPr="00A63D8E">
        <w:rPr>
          <w:rFonts w:ascii="Arial" w:eastAsia="Times New Roman" w:hAnsi="Arial" w:cs="Arial"/>
          <w:color w:val="000000"/>
          <w:sz w:val="21"/>
          <w:szCs w:val="21"/>
          <w:vertAlign w:val="subscript"/>
          <w:lang w:eastAsia="ru-RU"/>
        </w:rPr>
        <w:t>0</w:t>
      </w:r>
      <w:r w:rsidRPr="00A63D8E">
        <w:rPr>
          <w:rFonts w:ascii="Arial" w:eastAsia="Times New Roman" w:hAnsi="Arial" w:cs="Arial"/>
          <w:color w:val="000000"/>
          <w:sz w:val="21"/>
          <w:szCs w:val="21"/>
          <w:lang w:eastAsia="ru-RU"/>
        </w:rPr>
        <w:t> – величина тока устройства при значении напряжения равном пороговому;</w:t>
      </w:r>
    </w:p>
    <w:p w:rsidR="00A63D8E" w:rsidRPr="00A63D8E" w:rsidRDefault="00A63D8E" w:rsidP="00A63D8E">
      <w:pPr>
        <w:spacing w:after="0" w:line="240" w:lineRule="auto"/>
        <w:ind w:left="150" w:right="150" w:firstLine="397"/>
        <w:jc w:val="both"/>
        <w:rPr>
          <w:rFonts w:ascii="Arial" w:eastAsia="Times New Roman" w:hAnsi="Arial" w:cs="Arial"/>
          <w:color w:val="000000"/>
          <w:sz w:val="21"/>
          <w:szCs w:val="21"/>
          <w:lang w:eastAsia="ru-RU"/>
        </w:rPr>
      </w:pPr>
      <w:r w:rsidRPr="00A63D8E">
        <w:rPr>
          <w:rFonts w:ascii="Times New Roman" w:eastAsia="Times New Roman" w:hAnsi="Times New Roman" w:cs="Times New Roman"/>
          <w:i/>
          <w:iCs/>
          <w:color w:val="000000"/>
          <w:sz w:val="26"/>
          <w:szCs w:val="26"/>
          <w:lang w:eastAsia="ru-RU"/>
        </w:rPr>
        <w:lastRenderedPageBreak/>
        <w:t>α</w:t>
      </w:r>
      <w:r w:rsidRPr="00A63D8E">
        <w:rPr>
          <w:rFonts w:ascii="Arial" w:eastAsia="Times New Roman" w:hAnsi="Arial" w:cs="Arial"/>
          <w:color w:val="000000"/>
          <w:sz w:val="21"/>
          <w:szCs w:val="21"/>
          <w:lang w:eastAsia="ru-RU"/>
        </w:rPr>
        <w:t xml:space="preserve"> – показатель степени, определяющий нелинейность </w:t>
      </w:r>
      <w:proofErr w:type="gramStart"/>
      <w:r w:rsidRPr="00A63D8E">
        <w:rPr>
          <w:rFonts w:ascii="Arial" w:eastAsia="Times New Roman" w:hAnsi="Arial" w:cs="Arial"/>
          <w:color w:val="000000"/>
          <w:sz w:val="21"/>
          <w:szCs w:val="21"/>
          <w:lang w:eastAsia="ru-RU"/>
        </w:rPr>
        <w:t>вольт-амперной</w:t>
      </w:r>
      <w:proofErr w:type="gramEnd"/>
      <w:r w:rsidRPr="00A63D8E">
        <w:rPr>
          <w:rFonts w:ascii="Arial" w:eastAsia="Times New Roman" w:hAnsi="Arial" w:cs="Arial"/>
          <w:color w:val="000000"/>
          <w:sz w:val="21"/>
          <w:szCs w:val="21"/>
          <w:lang w:eastAsia="ru-RU"/>
        </w:rPr>
        <w:t xml:space="preserve"> характеристики резистора (обычно лежит в пределах от 0 до 50).</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Схема блока нелинейного резистора показана на рисунке 2. Модель </w:t>
      </w:r>
      <w:proofErr w:type="spellStart"/>
      <w:r w:rsidRPr="00A63D8E">
        <w:rPr>
          <w:rFonts w:ascii="Arial" w:eastAsia="Times New Roman" w:hAnsi="Arial" w:cs="Arial"/>
          <w:color w:val="000000"/>
          <w:sz w:val="21"/>
          <w:szCs w:val="21"/>
          <w:lang w:eastAsia="ru-RU"/>
        </w:rPr>
        <w:t>Simulink</w:t>
      </w:r>
      <w:proofErr w:type="spellEnd"/>
      <w:r w:rsidRPr="00A63D8E">
        <w:rPr>
          <w:rFonts w:ascii="Arial" w:eastAsia="Times New Roman" w:hAnsi="Arial" w:cs="Arial"/>
          <w:color w:val="000000"/>
          <w:sz w:val="21"/>
          <w:szCs w:val="21"/>
          <w:lang w:eastAsia="ru-RU"/>
        </w:rPr>
        <w:t xml:space="preserve"> резистора реализована с помощью блока </w:t>
      </w:r>
      <w:proofErr w:type="spellStart"/>
      <w:r w:rsidRPr="00A63D8E">
        <w:rPr>
          <w:rFonts w:ascii="Arial" w:eastAsia="Times New Roman" w:hAnsi="Arial" w:cs="Arial"/>
          <w:color w:val="000000"/>
          <w:sz w:val="21"/>
          <w:szCs w:val="21"/>
          <w:lang w:eastAsia="ru-RU"/>
        </w:rPr>
        <w:t>Fcn</w:t>
      </w:r>
      <w:proofErr w:type="spellEnd"/>
      <w:r w:rsidRPr="00A63D8E">
        <w:rPr>
          <w:rFonts w:ascii="Arial" w:eastAsia="Times New Roman" w:hAnsi="Arial" w:cs="Arial"/>
          <w:color w:val="000000"/>
          <w:sz w:val="21"/>
          <w:szCs w:val="21"/>
          <w:lang w:eastAsia="ru-RU"/>
        </w:rPr>
        <w:t>. Численные значения параметров приняты следующими:</w:t>
      </w:r>
    </w:p>
    <w:p w:rsidR="00A63D8E" w:rsidRPr="00A63D8E" w:rsidRDefault="00A63D8E" w:rsidP="00A63D8E">
      <w:pPr>
        <w:shd w:val="clear" w:color="auto" w:fill="FFFFFF"/>
        <w:spacing w:after="0" w:line="240" w:lineRule="auto"/>
        <w:jc w:val="center"/>
        <w:rPr>
          <w:rFonts w:ascii="Arial" w:eastAsia="Times New Roman" w:hAnsi="Arial" w:cs="Arial"/>
          <w:color w:val="000000"/>
          <w:sz w:val="21"/>
          <w:szCs w:val="21"/>
          <w:lang w:eastAsia="ru-RU"/>
        </w:rPr>
      </w:pPr>
      <w:r w:rsidRPr="00A63D8E">
        <w:rPr>
          <w:rFonts w:ascii="Times New Roman" w:eastAsia="Times New Roman" w:hAnsi="Times New Roman" w:cs="Times New Roman"/>
          <w:i/>
          <w:iCs/>
          <w:color w:val="000000"/>
          <w:sz w:val="26"/>
          <w:szCs w:val="26"/>
          <w:lang w:eastAsia="ru-RU"/>
        </w:rPr>
        <w:t>U</w:t>
      </w:r>
      <w:r w:rsidRPr="00A63D8E">
        <w:rPr>
          <w:rFonts w:ascii="Arial" w:eastAsia="Times New Roman" w:hAnsi="Arial" w:cs="Arial"/>
          <w:color w:val="000000"/>
          <w:sz w:val="21"/>
          <w:szCs w:val="21"/>
          <w:vertAlign w:val="subscript"/>
          <w:lang w:eastAsia="ru-RU"/>
        </w:rPr>
        <w:t>0</w:t>
      </w:r>
      <w:r w:rsidRPr="00A63D8E">
        <w:rPr>
          <w:rFonts w:ascii="Arial" w:eastAsia="Times New Roman" w:hAnsi="Arial" w:cs="Arial"/>
          <w:color w:val="000000"/>
          <w:sz w:val="21"/>
          <w:szCs w:val="21"/>
          <w:lang w:eastAsia="ru-RU"/>
        </w:rPr>
        <w:t xml:space="preserve">=110 </w:t>
      </w:r>
      <w:proofErr w:type="spellStart"/>
      <w:r w:rsidRPr="00A63D8E">
        <w:rPr>
          <w:rFonts w:ascii="Arial" w:eastAsia="Times New Roman" w:hAnsi="Arial" w:cs="Arial"/>
          <w:color w:val="000000"/>
          <w:sz w:val="21"/>
          <w:szCs w:val="21"/>
          <w:lang w:eastAsia="ru-RU"/>
        </w:rPr>
        <w:t>кВ</w:t>
      </w:r>
      <w:proofErr w:type="spellEnd"/>
      <w:r w:rsidRPr="00A63D8E">
        <w:rPr>
          <w:rFonts w:ascii="Arial" w:eastAsia="Times New Roman" w:hAnsi="Arial" w:cs="Arial"/>
          <w:color w:val="000000"/>
          <w:sz w:val="21"/>
          <w:szCs w:val="21"/>
          <w:lang w:eastAsia="ru-RU"/>
        </w:rPr>
        <w:t>, </w:t>
      </w:r>
      <w:r w:rsidRPr="00A63D8E">
        <w:rPr>
          <w:rFonts w:ascii="Times New Roman" w:eastAsia="Times New Roman" w:hAnsi="Times New Roman" w:cs="Times New Roman"/>
          <w:i/>
          <w:iCs/>
          <w:color w:val="000000"/>
          <w:sz w:val="26"/>
          <w:szCs w:val="26"/>
          <w:lang w:eastAsia="ru-RU"/>
        </w:rPr>
        <w:t>I</w:t>
      </w:r>
      <w:r w:rsidRPr="00A63D8E">
        <w:rPr>
          <w:rFonts w:ascii="Arial" w:eastAsia="Times New Roman" w:hAnsi="Arial" w:cs="Arial"/>
          <w:color w:val="000000"/>
          <w:sz w:val="21"/>
          <w:szCs w:val="21"/>
          <w:vertAlign w:val="subscript"/>
          <w:lang w:eastAsia="ru-RU"/>
        </w:rPr>
        <w:t>0</w:t>
      </w:r>
      <w:r w:rsidRPr="00A63D8E">
        <w:rPr>
          <w:rFonts w:ascii="Arial" w:eastAsia="Times New Roman" w:hAnsi="Arial" w:cs="Arial"/>
          <w:color w:val="000000"/>
          <w:sz w:val="21"/>
          <w:szCs w:val="21"/>
          <w:lang w:eastAsia="ru-RU"/>
        </w:rPr>
        <w:t>=500 А, </w:t>
      </w:r>
      <w:r w:rsidRPr="00A63D8E">
        <w:rPr>
          <w:rFonts w:ascii="Times New Roman" w:eastAsia="Times New Roman" w:hAnsi="Times New Roman" w:cs="Times New Roman"/>
          <w:i/>
          <w:iCs/>
          <w:color w:val="000000"/>
          <w:sz w:val="26"/>
          <w:szCs w:val="26"/>
          <w:lang w:eastAsia="ru-RU"/>
        </w:rPr>
        <w:t>α</w:t>
      </w:r>
      <w:r w:rsidRPr="00A63D8E">
        <w:rPr>
          <w:rFonts w:ascii="Arial" w:eastAsia="Times New Roman" w:hAnsi="Arial" w:cs="Arial"/>
          <w:color w:val="000000"/>
          <w:sz w:val="21"/>
          <w:szCs w:val="21"/>
          <w:lang w:eastAsia="ru-RU"/>
        </w:rPr>
        <w:t>=24.</w:t>
      </w:r>
    </w:p>
    <w:p w:rsidR="00A63D8E" w:rsidRDefault="00A63D8E">
      <w:r>
        <w:rPr>
          <w:noProof/>
          <w:lang w:eastAsia="ru-RU"/>
        </w:rPr>
        <w:drawing>
          <wp:inline distT="0" distB="0" distL="0" distR="0" wp14:anchorId="6DA64CDE" wp14:editId="364DB3B3">
            <wp:extent cx="4210050" cy="27527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10050" cy="2752725"/>
                    </a:xfrm>
                    <a:prstGeom prst="rect">
                      <a:avLst/>
                    </a:prstGeom>
                  </pic:spPr>
                </pic:pic>
              </a:graphicData>
            </a:graphic>
          </wp:inline>
        </w:drawing>
      </w:r>
    </w:p>
    <w:p w:rsidR="00A63D8E" w:rsidRDefault="00A63D8E">
      <w:pPr>
        <w:rPr>
          <w:rFonts w:ascii="Arial" w:hAnsi="Arial" w:cs="Arial"/>
          <w:color w:val="000000"/>
          <w:sz w:val="21"/>
          <w:szCs w:val="21"/>
          <w:shd w:val="clear" w:color="auto" w:fill="FFFFFF"/>
        </w:rPr>
      </w:pPr>
      <w:r>
        <w:rPr>
          <w:rFonts w:ascii="Arial" w:hAnsi="Arial" w:cs="Arial"/>
          <w:color w:val="000000"/>
          <w:sz w:val="21"/>
          <w:szCs w:val="21"/>
          <w:shd w:val="clear" w:color="auto" w:fill="FFFFFF"/>
        </w:rPr>
        <w:t>Схема всей модели и диаграммы ее работы показаны на рисунке 3.</w:t>
      </w:r>
    </w:p>
    <w:p w:rsidR="00A63D8E" w:rsidRDefault="00A63D8E">
      <w:r>
        <w:rPr>
          <w:noProof/>
          <w:lang w:eastAsia="ru-RU"/>
        </w:rPr>
        <w:drawing>
          <wp:inline distT="0" distB="0" distL="0" distR="0" wp14:anchorId="121CB225" wp14:editId="1EBB0A8F">
            <wp:extent cx="5295900" cy="3000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95900" cy="3000375"/>
                    </a:xfrm>
                    <a:prstGeom prst="rect">
                      <a:avLst/>
                    </a:prstGeom>
                  </pic:spPr>
                </pic:pic>
              </a:graphicData>
            </a:graphic>
          </wp:inline>
        </w:drawing>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На схеме показаны датчики тока и напряжения, снимающие сигналы пропорциональные этим переменным. Графопостроитель XY-</w:t>
      </w:r>
      <w:proofErr w:type="spellStart"/>
      <w:r w:rsidRPr="00A63D8E">
        <w:rPr>
          <w:rFonts w:ascii="Arial" w:eastAsia="Times New Roman" w:hAnsi="Arial" w:cs="Arial"/>
          <w:color w:val="000000"/>
          <w:sz w:val="21"/>
          <w:szCs w:val="21"/>
          <w:lang w:eastAsia="ru-RU"/>
        </w:rPr>
        <w:t>Grraph</w:t>
      </w:r>
      <w:proofErr w:type="spellEnd"/>
      <w:r w:rsidRPr="00A63D8E">
        <w:rPr>
          <w:rFonts w:ascii="Arial" w:eastAsia="Times New Roman" w:hAnsi="Arial" w:cs="Arial"/>
          <w:color w:val="000000"/>
          <w:sz w:val="21"/>
          <w:szCs w:val="21"/>
          <w:lang w:eastAsia="ru-RU"/>
        </w:rPr>
        <w:t xml:space="preserve"> по этим сигналам строит </w:t>
      </w:r>
      <w:proofErr w:type="gramStart"/>
      <w:r w:rsidRPr="00A63D8E">
        <w:rPr>
          <w:rFonts w:ascii="Arial" w:eastAsia="Times New Roman" w:hAnsi="Arial" w:cs="Arial"/>
          <w:color w:val="000000"/>
          <w:sz w:val="21"/>
          <w:szCs w:val="21"/>
          <w:lang w:eastAsia="ru-RU"/>
        </w:rPr>
        <w:t>вольт-амперную</w:t>
      </w:r>
      <w:proofErr w:type="gramEnd"/>
      <w:r w:rsidRPr="00A63D8E">
        <w:rPr>
          <w:rFonts w:ascii="Arial" w:eastAsia="Times New Roman" w:hAnsi="Arial" w:cs="Arial"/>
          <w:color w:val="000000"/>
          <w:sz w:val="21"/>
          <w:szCs w:val="21"/>
          <w:lang w:eastAsia="ru-RU"/>
        </w:rPr>
        <w:t xml:space="preserve"> характеристику резистора. Временные диаграммы тока и напряжения также иллюстрируют нелинейность характеристики резистора.</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Некоторым недостатком такой модели резистора является наличие </w:t>
      </w:r>
      <w:proofErr w:type="spellStart"/>
      <w:r w:rsidRPr="00A63D8E">
        <w:rPr>
          <w:rFonts w:ascii="Arial" w:eastAsia="Times New Roman" w:hAnsi="Arial" w:cs="Arial"/>
          <w:color w:val="000000"/>
          <w:sz w:val="21"/>
          <w:szCs w:val="21"/>
          <w:lang w:eastAsia="ru-RU"/>
        </w:rPr>
        <w:t>безинерционного</w:t>
      </w:r>
      <w:proofErr w:type="spellEnd"/>
      <w:r w:rsidRPr="00A63D8E">
        <w:rPr>
          <w:rFonts w:ascii="Arial" w:eastAsia="Times New Roman" w:hAnsi="Arial" w:cs="Arial"/>
          <w:color w:val="000000"/>
          <w:sz w:val="21"/>
          <w:szCs w:val="21"/>
          <w:lang w:eastAsia="ru-RU"/>
        </w:rPr>
        <w:t xml:space="preserve"> </w:t>
      </w:r>
      <w:proofErr w:type="gramStart"/>
      <w:r w:rsidRPr="00A63D8E">
        <w:rPr>
          <w:rFonts w:ascii="Arial" w:eastAsia="Times New Roman" w:hAnsi="Arial" w:cs="Arial"/>
          <w:color w:val="000000"/>
          <w:sz w:val="21"/>
          <w:szCs w:val="21"/>
          <w:lang w:eastAsia="ru-RU"/>
        </w:rPr>
        <w:t>замкнутого контура</w:t>
      </w:r>
      <w:proofErr w:type="gramEnd"/>
      <w:r w:rsidRPr="00A63D8E">
        <w:rPr>
          <w:rFonts w:ascii="Arial" w:eastAsia="Times New Roman" w:hAnsi="Arial" w:cs="Arial"/>
          <w:color w:val="000000"/>
          <w:sz w:val="21"/>
          <w:szCs w:val="21"/>
          <w:lang w:eastAsia="ru-RU"/>
        </w:rPr>
        <w:t xml:space="preserve"> образованного датчиком напряжения, блоком </w:t>
      </w:r>
      <w:proofErr w:type="spellStart"/>
      <w:r w:rsidRPr="00A63D8E">
        <w:rPr>
          <w:rFonts w:ascii="Arial" w:eastAsia="Times New Roman" w:hAnsi="Arial" w:cs="Arial"/>
          <w:color w:val="000000"/>
          <w:sz w:val="21"/>
          <w:szCs w:val="21"/>
          <w:lang w:eastAsia="ru-RU"/>
        </w:rPr>
        <w:t>Fcn</w:t>
      </w:r>
      <w:proofErr w:type="spellEnd"/>
      <w:r w:rsidRPr="00A63D8E">
        <w:rPr>
          <w:rFonts w:ascii="Arial" w:eastAsia="Times New Roman" w:hAnsi="Arial" w:cs="Arial"/>
          <w:color w:val="000000"/>
          <w:sz w:val="21"/>
          <w:szCs w:val="21"/>
          <w:lang w:eastAsia="ru-RU"/>
        </w:rPr>
        <w:t xml:space="preserve"> и управляемым источником тока (см. рисунок 2). </w:t>
      </w:r>
      <w:proofErr w:type="spellStart"/>
      <w:r w:rsidRPr="00A63D8E">
        <w:rPr>
          <w:rFonts w:ascii="Arial" w:eastAsia="Times New Roman" w:hAnsi="Arial" w:cs="Arial"/>
          <w:color w:val="000000"/>
          <w:sz w:val="21"/>
          <w:szCs w:val="21"/>
          <w:lang w:eastAsia="ru-RU"/>
        </w:rPr>
        <w:t>Simulink</w:t>
      </w:r>
      <w:proofErr w:type="spellEnd"/>
      <w:r w:rsidRPr="00A63D8E">
        <w:rPr>
          <w:rFonts w:ascii="Arial" w:eastAsia="Times New Roman" w:hAnsi="Arial" w:cs="Arial"/>
          <w:color w:val="000000"/>
          <w:sz w:val="21"/>
          <w:szCs w:val="21"/>
          <w:lang w:eastAsia="ru-RU"/>
        </w:rPr>
        <w:t xml:space="preserve"> выполняет расчет таких моделей используя итерационную процедуру, что несколько снижает скорость расчета. Также при наличии замкнутых алгебраических контуров становится невозможным расчет модели в ускоренном режиме (</w:t>
      </w:r>
      <w:proofErr w:type="spellStart"/>
      <w:r w:rsidRPr="00A63D8E">
        <w:rPr>
          <w:rFonts w:ascii="Arial" w:eastAsia="Times New Roman" w:hAnsi="Arial" w:cs="Arial"/>
          <w:color w:val="000000"/>
          <w:sz w:val="21"/>
          <w:szCs w:val="21"/>
          <w:lang w:eastAsia="ru-RU"/>
        </w:rPr>
        <w:t>Acceleration</w:t>
      </w:r>
      <w:proofErr w:type="spellEnd"/>
      <w:r w:rsidRPr="00A63D8E">
        <w:rPr>
          <w:rFonts w:ascii="Arial" w:eastAsia="Times New Roman" w:hAnsi="Arial" w:cs="Arial"/>
          <w:color w:val="000000"/>
          <w:sz w:val="21"/>
          <w:szCs w:val="21"/>
          <w:lang w:eastAsia="ru-RU"/>
        </w:rPr>
        <w:t xml:space="preserve"> </w:t>
      </w:r>
      <w:proofErr w:type="spellStart"/>
      <w:r w:rsidRPr="00A63D8E">
        <w:rPr>
          <w:rFonts w:ascii="Arial" w:eastAsia="Times New Roman" w:hAnsi="Arial" w:cs="Arial"/>
          <w:color w:val="000000"/>
          <w:sz w:val="21"/>
          <w:szCs w:val="21"/>
          <w:lang w:eastAsia="ru-RU"/>
        </w:rPr>
        <w:t>mode</w:t>
      </w:r>
      <w:proofErr w:type="spellEnd"/>
      <w:r w:rsidRPr="00A63D8E">
        <w:rPr>
          <w:rFonts w:ascii="Arial" w:eastAsia="Times New Roman" w:hAnsi="Arial" w:cs="Arial"/>
          <w:color w:val="000000"/>
          <w:sz w:val="21"/>
          <w:szCs w:val="21"/>
          <w:lang w:eastAsia="ru-RU"/>
        </w:rPr>
        <w:t xml:space="preserve">). Чтобы разорвать </w:t>
      </w:r>
      <w:proofErr w:type="spellStart"/>
      <w:r w:rsidRPr="00A63D8E">
        <w:rPr>
          <w:rFonts w:ascii="Arial" w:eastAsia="Times New Roman" w:hAnsi="Arial" w:cs="Arial"/>
          <w:color w:val="000000"/>
          <w:sz w:val="21"/>
          <w:szCs w:val="21"/>
          <w:lang w:eastAsia="ru-RU"/>
        </w:rPr>
        <w:t>безинерционный</w:t>
      </w:r>
      <w:proofErr w:type="spellEnd"/>
      <w:r w:rsidRPr="00A63D8E">
        <w:rPr>
          <w:rFonts w:ascii="Arial" w:eastAsia="Times New Roman" w:hAnsi="Arial" w:cs="Arial"/>
          <w:color w:val="000000"/>
          <w:sz w:val="21"/>
          <w:szCs w:val="21"/>
          <w:lang w:eastAsia="ru-RU"/>
        </w:rPr>
        <w:t xml:space="preserve"> контур достаточно включить в линию между датчиком напряжения и источником тока фильтр с малой постоянной времени. Величина постоянной времени должна выбираться таким образом, чтобы изменение динамических свойств </w:t>
      </w:r>
      <w:r w:rsidRPr="00A63D8E">
        <w:rPr>
          <w:rFonts w:ascii="Arial" w:eastAsia="Times New Roman" w:hAnsi="Arial" w:cs="Arial"/>
          <w:color w:val="000000"/>
          <w:sz w:val="21"/>
          <w:szCs w:val="21"/>
          <w:lang w:eastAsia="ru-RU"/>
        </w:rPr>
        <w:lastRenderedPageBreak/>
        <w:t>модели было минимальным (обычно величина постоянной времени фильтра выбирается в пределах от 10</w:t>
      </w:r>
      <w:r w:rsidRPr="00A63D8E">
        <w:rPr>
          <w:rFonts w:ascii="Arial" w:eastAsia="Times New Roman" w:hAnsi="Arial" w:cs="Arial"/>
          <w:color w:val="000000"/>
          <w:sz w:val="21"/>
          <w:szCs w:val="21"/>
          <w:vertAlign w:val="superscript"/>
          <w:lang w:eastAsia="ru-RU"/>
        </w:rPr>
        <w:t>-8</w:t>
      </w:r>
      <w:r w:rsidRPr="00A63D8E">
        <w:rPr>
          <w:rFonts w:ascii="Arial" w:eastAsia="Times New Roman" w:hAnsi="Arial" w:cs="Arial"/>
          <w:color w:val="000000"/>
          <w:sz w:val="21"/>
          <w:szCs w:val="21"/>
          <w:lang w:eastAsia="ru-RU"/>
        </w:rPr>
        <w:t>–10</w:t>
      </w:r>
      <w:r w:rsidRPr="00A63D8E">
        <w:rPr>
          <w:rFonts w:ascii="Arial" w:eastAsia="Times New Roman" w:hAnsi="Arial" w:cs="Arial"/>
          <w:color w:val="000000"/>
          <w:sz w:val="21"/>
          <w:szCs w:val="21"/>
          <w:vertAlign w:val="superscript"/>
          <w:lang w:eastAsia="ru-RU"/>
        </w:rPr>
        <w:t>-6</w:t>
      </w:r>
      <w:r w:rsidRPr="00A63D8E">
        <w:rPr>
          <w:rFonts w:ascii="Arial" w:eastAsia="Times New Roman" w:hAnsi="Arial" w:cs="Arial"/>
          <w:color w:val="000000"/>
          <w:sz w:val="21"/>
          <w:szCs w:val="21"/>
          <w:lang w:eastAsia="ru-RU"/>
        </w:rPr>
        <w:t>). Схема модели нелинейного резистора с использованием фильтра показана на рисунке 4.</w:t>
      </w:r>
    </w:p>
    <w:p w:rsidR="00A63D8E" w:rsidRDefault="00A63D8E">
      <w:r>
        <w:rPr>
          <w:noProof/>
          <w:lang w:eastAsia="ru-RU"/>
        </w:rPr>
        <w:drawing>
          <wp:inline distT="0" distB="0" distL="0" distR="0" wp14:anchorId="03C19F72" wp14:editId="7F803CC4">
            <wp:extent cx="5410200" cy="27146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10200" cy="2714625"/>
                    </a:xfrm>
                    <a:prstGeom prst="rect">
                      <a:avLst/>
                    </a:prstGeom>
                  </pic:spPr>
                </pic:pic>
              </a:graphicData>
            </a:graphic>
          </wp:inline>
        </w:drawing>
      </w:r>
    </w:p>
    <w:p w:rsidR="00A63D8E" w:rsidRDefault="00A63D8E" w:rsidP="00A63D8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 Модель насыщающегося реактора</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Методика создания модели нелинейной индуктивности ничем не отличается от аналогичной методики для нелинейного резистора.</w:t>
      </w:r>
    </w:p>
    <w:p w:rsidR="00A63D8E" w:rsidRDefault="00A63D8E" w:rsidP="00A63D8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Уравнения описывающие насыщающийся реактор выглядят следующим образом:</w:t>
      </w:r>
    </w:p>
    <w:p w:rsidR="00A63D8E" w:rsidRDefault="00A63D8E">
      <w:r>
        <w:rPr>
          <w:noProof/>
          <w:lang w:eastAsia="ru-RU"/>
        </w:rPr>
        <w:drawing>
          <wp:inline distT="0" distB="0" distL="0" distR="0" wp14:anchorId="64A6C9D8" wp14:editId="0610FF78">
            <wp:extent cx="1266825" cy="7810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6825" cy="781050"/>
                    </a:xfrm>
                    <a:prstGeom prst="rect">
                      <a:avLst/>
                    </a:prstGeom>
                  </pic:spPr>
                </pic:pic>
              </a:graphicData>
            </a:graphic>
          </wp:inline>
        </w:drawing>
      </w:r>
    </w:p>
    <w:p w:rsidR="00A63D8E" w:rsidRPr="00A63D8E" w:rsidRDefault="00A63D8E" w:rsidP="00A63D8E">
      <w:pPr>
        <w:spacing w:before="100" w:beforeAutospacing="1" w:after="0" w:line="240" w:lineRule="auto"/>
        <w:ind w:left="150" w:right="150"/>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где </w:t>
      </w:r>
      <w:r w:rsidRPr="00A63D8E">
        <w:rPr>
          <w:rFonts w:ascii="Times New Roman" w:eastAsia="Times New Roman" w:hAnsi="Times New Roman" w:cs="Times New Roman"/>
          <w:i/>
          <w:iCs/>
          <w:color w:val="000000"/>
          <w:sz w:val="26"/>
          <w:szCs w:val="26"/>
          <w:lang w:eastAsia="ru-RU"/>
        </w:rPr>
        <w:t>i</w:t>
      </w:r>
      <w:r w:rsidRPr="00A63D8E">
        <w:rPr>
          <w:rFonts w:ascii="Arial" w:eastAsia="Times New Roman" w:hAnsi="Arial" w:cs="Arial"/>
          <w:color w:val="000000"/>
          <w:sz w:val="21"/>
          <w:szCs w:val="21"/>
          <w:lang w:eastAsia="ru-RU"/>
        </w:rPr>
        <w:t>, </w:t>
      </w:r>
      <w:r w:rsidRPr="00A63D8E">
        <w:rPr>
          <w:rFonts w:ascii="Times New Roman" w:eastAsia="Times New Roman" w:hAnsi="Times New Roman" w:cs="Times New Roman"/>
          <w:i/>
          <w:iCs/>
          <w:color w:val="000000"/>
          <w:sz w:val="26"/>
          <w:szCs w:val="26"/>
          <w:lang w:eastAsia="ru-RU"/>
        </w:rPr>
        <w:t>u</w:t>
      </w:r>
      <w:r w:rsidRPr="00A63D8E">
        <w:rPr>
          <w:rFonts w:ascii="Arial" w:eastAsia="Times New Roman" w:hAnsi="Arial" w:cs="Arial"/>
          <w:color w:val="000000"/>
          <w:sz w:val="21"/>
          <w:szCs w:val="21"/>
          <w:lang w:eastAsia="ru-RU"/>
        </w:rPr>
        <w:t>, </w:t>
      </w:r>
      <w:r w:rsidRPr="00A63D8E">
        <w:rPr>
          <w:rFonts w:ascii="Times New Roman" w:eastAsia="Times New Roman" w:hAnsi="Times New Roman" w:cs="Times New Roman"/>
          <w:i/>
          <w:iCs/>
          <w:color w:val="000000"/>
          <w:sz w:val="26"/>
          <w:szCs w:val="26"/>
          <w:lang w:eastAsia="ru-RU"/>
        </w:rPr>
        <w:t>Ψ</w:t>
      </w:r>
      <w:r w:rsidRPr="00A63D8E">
        <w:rPr>
          <w:rFonts w:ascii="Arial" w:eastAsia="Times New Roman" w:hAnsi="Arial" w:cs="Arial"/>
          <w:color w:val="000000"/>
          <w:sz w:val="21"/>
          <w:szCs w:val="21"/>
          <w:lang w:eastAsia="ru-RU"/>
        </w:rPr>
        <w:t> – мгновенные значения тока, напряжения и потокосцепления,</w:t>
      </w:r>
    </w:p>
    <w:p w:rsidR="00A63D8E" w:rsidRPr="00A63D8E" w:rsidRDefault="00A63D8E" w:rsidP="00A63D8E">
      <w:pPr>
        <w:spacing w:after="0" w:line="240" w:lineRule="auto"/>
        <w:ind w:left="150" w:right="150" w:firstLine="397"/>
        <w:jc w:val="both"/>
        <w:rPr>
          <w:rFonts w:ascii="Arial" w:eastAsia="Times New Roman" w:hAnsi="Arial" w:cs="Arial"/>
          <w:color w:val="000000"/>
          <w:sz w:val="21"/>
          <w:szCs w:val="21"/>
          <w:lang w:eastAsia="ru-RU"/>
        </w:rPr>
      </w:pPr>
      <w:r w:rsidRPr="00A63D8E">
        <w:rPr>
          <w:rFonts w:ascii="Times New Roman" w:eastAsia="Times New Roman" w:hAnsi="Times New Roman" w:cs="Times New Roman"/>
          <w:i/>
          <w:iCs/>
          <w:color w:val="000000"/>
          <w:sz w:val="26"/>
          <w:szCs w:val="26"/>
          <w:lang w:eastAsia="ru-RU"/>
        </w:rPr>
        <w:t>a</w:t>
      </w:r>
      <w:r w:rsidRPr="00A63D8E">
        <w:rPr>
          <w:rFonts w:ascii="Arial" w:eastAsia="Times New Roman" w:hAnsi="Arial" w:cs="Arial"/>
          <w:color w:val="000000"/>
          <w:sz w:val="21"/>
          <w:szCs w:val="21"/>
          <w:lang w:eastAsia="ru-RU"/>
        </w:rPr>
        <w:t>, </w:t>
      </w:r>
      <w:r w:rsidRPr="00A63D8E">
        <w:rPr>
          <w:rFonts w:ascii="Times New Roman" w:eastAsia="Times New Roman" w:hAnsi="Times New Roman" w:cs="Times New Roman"/>
          <w:i/>
          <w:iCs/>
          <w:color w:val="000000"/>
          <w:sz w:val="26"/>
          <w:szCs w:val="26"/>
          <w:lang w:eastAsia="ru-RU"/>
        </w:rPr>
        <w:t>b</w:t>
      </w:r>
      <w:r w:rsidRPr="00A63D8E">
        <w:rPr>
          <w:rFonts w:ascii="Arial" w:eastAsia="Times New Roman" w:hAnsi="Arial" w:cs="Arial"/>
          <w:color w:val="000000"/>
          <w:sz w:val="21"/>
          <w:szCs w:val="21"/>
          <w:lang w:eastAsia="ru-RU"/>
        </w:rPr>
        <w:t> – коэффициенты нелинейной зависимости между потокосцеплением и током.</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Первое из уравнений есть дифференциальное уравнение для напряжения на реакторе, а второе – алгебраическая зависимость между потокосцеплением и током реактора. Последнее уравнение может быть и другим, в зависимости от требований к точности аппроксимации нелинейности реактора.</w:t>
      </w:r>
    </w:p>
    <w:p w:rsidR="00A63D8E" w:rsidRPr="00A63D8E" w:rsidRDefault="00A63D8E" w:rsidP="00A63D8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A63D8E">
        <w:rPr>
          <w:rFonts w:ascii="Arial" w:eastAsia="Times New Roman" w:hAnsi="Arial" w:cs="Arial"/>
          <w:color w:val="000000"/>
          <w:sz w:val="21"/>
          <w:szCs w:val="21"/>
          <w:lang w:eastAsia="ru-RU"/>
        </w:rPr>
        <w:t xml:space="preserve">Для создания </w:t>
      </w:r>
      <w:proofErr w:type="spellStart"/>
      <w:r w:rsidRPr="00A63D8E">
        <w:rPr>
          <w:rFonts w:ascii="Arial" w:eastAsia="Times New Roman" w:hAnsi="Arial" w:cs="Arial"/>
          <w:color w:val="000000"/>
          <w:sz w:val="21"/>
          <w:szCs w:val="21"/>
          <w:lang w:eastAsia="ru-RU"/>
        </w:rPr>
        <w:t>Simulink</w:t>
      </w:r>
      <w:proofErr w:type="spellEnd"/>
      <w:r w:rsidRPr="00A63D8E">
        <w:rPr>
          <w:rFonts w:ascii="Arial" w:eastAsia="Times New Roman" w:hAnsi="Arial" w:cs="Arial"/>
          <w:color w:val="000000"/>
          <w:sz w:val="21"/>
          <w:szCs w:val="21"/>
          <w:lang w:eastAsia="ru-RU"/>
        </w:rPr>
        <w:t>-модели реактора требуется сначала перейти к операторной форме записи дифференциального уравнения для напряжения реактора:</w:t>
      </w:r>
    </w:p>
    <w:p w:rsidR="00A63D8E" w:rsidRDefault="00A63D8E">
      <w:r>
        <w:rPr>
          <w:noProof/>
          <w:lang w:eastAsia="ru-RU"/>
        </w:rPr>
        <w:drawing>
          <wp:inline distT="0" distB="0" distL="0" distR="0" wp14:anchorId="591BABC6" wp14:editId="799205CC">
            <wp:extent cx="1990725" cy="5143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90725" cy="514350"/>
                    </a:xfrm>
                    <a:prstGeom prst="rect">
                      <a:avLst/>
                    </a:prstGeom>
                  </pic:spPr>
                </pic:pic>
              </a:graphicData>
            </a:graphic>
          </wp:inline>
        </w:drawing>
      </w:r>
    </w:p>
    <w:p w:rsidR="00A63D8E" w:rsidRDefault="00A63D8E">
      <w:pPr>
        <w:rPr>
          <w:rFonts w:ascii="Arial" w:hAnsi="Arial" w:cs="Arial"/>
          <w:color w:val="000000"/>
          <w:sz w:val="21"/>
          <w:szCs w:val="21"/>
          <w:shd w:val="clear" w:color="auto" w:fill="FFFFFF"/>
        </w:rPr>
      </w:pPr>
      <w:r>
        <w:rPr>
          <w:rFonts w:ascii="Arial" w:hAnsi="Arial" w:cs="Arial"/>
          <w:color w:val="000000"/>
          <w:sz w:val="21"/>
          <w:szCs w:val="21"/>
          <w:shd w:val="clear" w:color="auto" w:fill="FFFFFF"/>
        </w:rPr>
        <w:t>а затем, получить передаточную функцию (ПФ), связывающую потокосцепление и напряжение:</w:t>
      </w:r>
    </w:p>
    <w:p w:rsidR="00A63D8E" w:rsidRDefault="00A63D8E">
      <w:r>
        <w:rPr>
          <w:noProof/>
          <w:lang w:eastAsia="ru-RU"/>
        </w:rPr>
        <w:drawing>
          <wp:inline distT="0" distB="0" distL="0" distR="0" wp14:anchorId="5E3871AE" wp14:editId="0EA8B0C9">
            <wp:extent cx="1647825" cy="638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47825" cy="638175"/>
                    </a:xfrm>
                    <a:prstGeom prst="rect">
                      <a:avLst/>
                    </a:prstGeom>
                  </pic:spPr>
                </pic:pic>
              </a:graphicData>
            </a:graphic>
          </wp:inline>
        </w:drawing>
      </w:r>
    </w:p>
    <w:p w:rsidR="00A63D8E" w:rsidRDefault="00A63D8E">
      <w:pPr>
        <w:rPr>
          <w:noProof/>
          <w:lang w:eastAsia="ru-RU"/>
        </w:rPr>
      </w:pPr>
      <w:r>
        <w:rPr>
          <w:rFonts w:ascii="Arial" w:hAnsi="Arial" w:cs="Arial"/>
          <w:color w:val="000000"/>
          <w:sz w:val="21"/>
          <w:szCs w:val="21"/>
          <w:shd w:val="clear" w:color="auto" w:fill="FFFFFF"/>
        </w:rPr>
        <w:lastRenderedPageBreak/>
        <w:t xml:space="preserve">Полученные передаточная функция и нелинейная зависимость между током и потокосцеплением дают возможность создать </w:t>
      </w:r>
      <w:proofErr w:type="spellStart"/>
      <w:r>
        <w:rPr>
          <w:rFonts w:ascii="Arial" w:hAnsi="Arial" w:cs="Arial"/>
          <w:color w:val="000000"/>
          <w:sz w:val="21"/>
          <w:szCs w:val="21"/>
          <w:shd w:val="clear" w:color="auto" w:fill="FFFFFF"/>
        </w:rPr>
        <w:t>Simulink</w:t>
      </w:r>
      <w:proofErr w:type="spellEnd"/>
      <w:r>
        <w:rPr>
          <w:rFonts w:ascii="Arial" w:hAnsi="Arial" w:cs="Arial"/>
          <w:color w:val="000000"/>
          <w:sz w:val="21"/>
          <w:szCs w:val="21"/>
          <w:shd w:val="clear" w:color="auto" w:fill="FFFFFF"/>
        </w:rPr>
        <w:t xml:space="preserve">-модель реактора. Схема </w:t>
      </w:r>
      <w:proofErr w:type="spellStart"/>
      <w:r>
        <w:rPr>
          <w:rFonts w:ascii="Arial" w:hAnsi="Arial" w:cs="Arial"/>
          <w:color w:val="000000"/>
          <w:sz w:val="21"/>
          <w:szCs w:val="21"/>
          <w:shd w:val="clear" w:color="auto" w:fill="FFFFFF"/>
        </w:rPr>
        <w:t>Simulink</w:t>
      </w:r>
      <w:proofErr w:type="spellEnd"/>
      <w:r>
        <w:rPr>
          <w:rFonts w:ascii="Arial" w:hAnsi="Arial" w:cs="Arial"/>
          <w:color w:val="000000"/>
          <w:sz w:val="21"/>
          <w:szCs w:val="21"/>
          <w:shd w:val="clear" w:color="auto" w:fill="FFFFFF"/>
        </w:rPr>
        <w:t>-модели показана на рисунке 5.</w:t>
      </w:r>
      <w:r w:rsidRPr="00A63D8E">
        <w:rPr>
          <w:noProof/>
          <w:lang w:eastAsia="ru-RU"/>
        </w:rPr>
        <w:t xml:space="preserve"> </w:t>
      </w:r>
      <w:r>
        <w:rPr>
          <w:noProof/>
          <w:lang w:eastAsia="ru-RU"/>
        </w:rPr>
        <w:drawing>
          <wp:inline distT="0" distB="0" distL="0" distR="0" wp14:anchorId="1D83F791" wp14:editId="6B9F2895">
            <wp:extent cx="3114675" cy="14668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14675" cy="1466850"/>
                    </a:xfrm>
                    <a:prstGeom prst="rect">
                      <a:avLst/>
                    </a:prstGeom>
                  </pic:spPr>
                </pic:pic>
              </a:graphicData>
            </a:graphic>
          </wp:inline>
        </w:drawing>
      </w:r>
    </w:p>
    <w:p w:rsidR="00A63D8E" w:rsidRDefault="00A63D8E">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На схеме величина активного сопротивления реактора принята равной 2 Ом, а </w:t>
      </w:r>
      <w:proofErr w:type="gramStart"/>
      <w:r>
        <w:rPr>
          <w:rFonts w:ascii="Arial" w:hAnsi="Arial" w:cs="Arial"/>
          <w:color w:val="000000"/>
          <w:sz w:val="21"/>
          <w:szCs w:val="21"/>
          <w:shd w:val="clear" w:color="auto" w:fill="FFFFFF"/>
        </w:rPr>
        <w:t>коэффициенты</w:t>
      </w:r>
      <w:proofErr w:type="gramEnd"/>
      <w:r>
        <w:rPr>
          <w:rFonts w:ascii="Arial" w:hAnsi="Arial" w:cs="Arial"/>
          <w:color w:val="000000"/>
          <w:sz w:val="21"/>
          <w:szCs w:val="21"/>
          <w:shd w:val="clear" w:color="auto" w:fill="FFFFFF"/>
        </w:rPr>
        <w:t> </w:t>
      </w:r>
      <w:r>
        <w:rPr>
          <w:rStyle w:val="form"/>
          <w:i/>
          <w:iCs/>
          <w:color w:val="000000"/>
          <w:sz w:val="26"/>
          <w:szCs w:val="26"/>
          <w:shd w:val="clear" w:color="auto" w:fill="FFFFFF"/>
        </w:rPr>
        <w:t>а</w:t>
      </w:r>
      <w:r>
        <w:rPr>
          <w:rFonts w:ascii="Arial" w:hAnsi="Arial" w:cs="Arial"/>
          <w:color w:val="000000"/>
          <w:sz w:val="21"/>
          <w:szCs w:val="21"/>
          <w:shd w:val="clear" w:color="auto" w:fill="FFFFFF"/>
        </w:rPr>
        <w:t>=60 и</w:t>
      </w:r>
      <w:r>
        <w:rPr>
          <w:rStyle w:val="form"/>
          <w:i/>
          <w:iCs/>
          <w:color w:val="000000"/>
          <w:sz w:val="26"/>
          <w:szCs w:val="26"/>
          <w:shd w:val="clear" w:color="auto" w:fill="FFFFFF"/>
        </w:rPr>
        <w:t> b</w:t>
      </w:r>
      <w:r>
        <w:rPr>
          <w:rFonts w:ascii="Arial" w:hAnsi="Arial" w:cs="Arial"/>
          <w:color w:val="000000"/>
          <w:sz w:val="21"/>
          <w:szCs w:val="21"/>
          <w:shd w:val="clear" w:color="auto" w:fill="FFFFFF"/>
        </w:rPr>
        <w:t>=40000. Далее, используя шаблон SPS-модели (см. рисунок 1) нетрудно создать модель насыщающегося реактора полностью. Схема всей модели, SPS-модель реактора и временные диаграммы работы модели показаны на рисунке 6.</w:t>
      </w:r>
    </w:p>
    <w:p w:rsidR="00A63D8E" w:rsidRDefault="00A63D8E">
      <w:r>
        <w:rPr>
          <w:noProof/>
          <w:lang w:eastAsia="ru-RU"/>
        </w:rPr>
        <w:drawing>
          <wp:inline distT="0" distB="0" distL="0" distR="0" wp14:anchorId="4D806AC7" wp14:editId="12660C5D">
            <wp:extent cx="5019675" cy="39052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19675" cy="3905250"/>
                    </a:xfrm>
                    <a:prstGeom prst="rect">
                      <a:avLst/>
                    </a:prstGeom>
                  </pic:spPr>
                </pic:pic>
              </a:graphicData>
            </a:graphic>
          </wp:inline>
        </w:drawing>
      </w:r>
    </w:p>
    <w:p w:rsidR="00A63D8E" w:rsidRDefault="00A63D8E">
      <w:pPr>
        <w:rPr>
          <w:rFonts w:ascii="Arial" w:hAnsi="Arial" w:cs="Arial"/>
          <w:color w:val="000000"/>
          <w:sz w:val="21"/>
          <w:szCs w:val="21"/>
          <w:shd w:val="clear" w:color="auto" w:fill="FFFFFF"/>
        </w:rPr>
      </w:pPr>
      <w:r>
        <w:rPr>
          <w:rFonts w:ascii="Arial" w:hAnsi="Arial" w:cs="Arial"/>
          <w:color w:val="000000"/>
          <w:sz w:val="21"/>
          <w:szCs w:val="21"/>
          <w:shd w:val="clear" w:color="auto" w:fill="FFFFFF"/>
        </w:rPr>
        <w:t>Несинусоидальный характер тока реактора иллюстрирует нелинейные свойства.</w:t>
      </w:r>
    </w:p>
    <w:p w:rsidR="003712DB" w:rsidRDefault="003712DB" w:rsidP="003712DB">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 Модель двигателя постоянного тока с независимым возбуждением</w:t>
      </w:r>
    </w:p>
    <w:p w:rsidR="003712DB" w:rsidRDefault="003712DB" w:rsidP="003712D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Двигатель постоянного тока независимого возбуждения (см. рисунок 7), описывается следующей системой дифференциальных и алгебраических уравнений в абсолютных единицах:</w:t>
      </w:r>
    </w:p>
    <w:p w:rsidR="00A63D8E" w:rsidRDefault="003712DB">
      <w:r>
        <w:rPr>
          <w:noProof/>
          <w:lang w:eastAsia="ru-RU"/>
        </w:rPr>
        <w:drawing>
          <wp:inline distT="0" distB="0" distL="0" distR="0" wp14:anchorId="0336480C" wp14:editId="027592D6">
            <wp:extent cx="5286375" cy="15525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86375" cy="1552575"/>
                    </a:xfrm>
                    <a:prstGeom prst="rect">
                      <a:avLst/>
                    </a:prstGeom>
                  </pic:spPr>
                </pic:pic>
              </a:graphicData>
            </a:graphic>
          </wp:inline>
        </w:drawing>
      </w:r>
    </w:p>
    <w:p w:rsidR="003712DB" w:rsidRDefault="003712DB" w:rsidP="003712DB">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form"/>
          <w:rFonts w:eastAsiaTheme="majorEastAsia"/>
          <w:i/>
          <w:iCs/>
          <w:color w:val="000000"/>
        </w:rPr>
        <w:t>u</w:t>
      </w:r>
      <w:r>
        <w:rPr>
          <w:rFonts w:ascii="Arial" w:hAnsi="Arial" w:cs="Arial"/>
          <w:color w:val="000000"/>
          <w:sz w:val="21"/>
          <w:szCs w:val="21"/>
        </w:rPr>
        <w:t> – напряжение на якорной обмотке двигателя;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e</w:t>
      </w:r>
      <w:r>
        <w:rPr>
          <w:rFonts w:ascii="Arial" w:hAnsi="Arial" w:cs="Arial"/>
          <w:color w:val="000000"/>
          <w:sz w:val="21"/>
          <w:szCs w:val="21"/>
        </w:rPr>
        <w:t> – электродвижущая сила (ЭДС) якоря;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i</w:t>
      </w:r>
      <w:r>
        <w:rPr>
          <w:rFonts w:ascii="Arial" w:hAnsi="Arial" w:cs="Arial"/>
          <w:color w:val="000000"/>
          <w:sz w:val="21"/>
          <w:szCs w:val="21"/>
        </w:rPr>
        <w:t> – ток якоря;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Φ</w:t>
      </w:r>
      <w:r>
        <w:rPr>
          <w:rFonts w:ascii="Arial" w:hAnsi="Arial" w:cs="Arial"/>
          <w:color w:val="000000"/>
          <w:sz w:val="21"/>
          <w:szCs w:val="21"/>
        </w:rPr>
        <w:t> – поток, создаваемый обмоткой возбуждения;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M</w:t>
      </w:r>
      <w:r>
        <w:rPr>
          <w:rFonts w:ascii="Arial" w:hAnsi="Arial" w:cs="Arial"/>
          <w:color w:val="000000"/>
          <w:sz w:val="21"/>
          <w:szCs w:val="21"/>
        </w:rPr>
        <w:t> – электромагнитный момент двигателя;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MС</w:t>
      </w:r>
      <w:r>
        <w:rPr>
          <w:rFonts w:ascii="Arial" w:hAnsi="Arial" w:cs="Arial"/>
          <w:color w:val="000000"/>
          <w:sz w:val="21"/>
          <w:szCs w:val="21"/>
        </w:rPr>
        <w:t> – момент сопротивления движению;</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ω</w:t>
      </w:r>
      <w:r>
        <w:rPr>
          <w:rFonts w:ascii="Arial" w:hAnsi="Arial" w:cs="Arial"/>
          <w:color w:val="000000"/>
          <w:sz w:val="21"/>
          <w:szCs w:val="21"/>
        </w:rPr>
        <w:t> – скорость вращения вала двигателя;</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R</w:t>
      </w:r>
      <w:r>
        <w:rPr>
          <w:rFonts w:ascii="Arial" w:hAnsi="Arial" w:cs="Arial"/>
          <w:color w:val="000000"/>
          <w:sz w:val="21"/>
          <w:szCs w:val="21"/>
        </w:rPr>
        <w:t> – активное сопротивление якорной цепи;</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L</w:t>
      </w:r>
      <w:r>
        <w:rPr>
          <w:rFonts w:ascii="Arial" w:hAnsi="Arial" w:cs="Arial"/>
          <w:color w:val="000000"/>
          <w:sz w:val="21"/>
          <w:szCs w:val="21"/>
        </w:rPr>
        <w:t> – индуктивность якорной цепи;</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J</w:t>
      </w:r>
      <w:r>
        <w:rPr>
          <w:rFonts w:ascii="Arial" w:hAnsi="Arial" w:cs="Arial"/>
          <w:color w:val="000000"/>
          <w:sz w:val="21"/>
          <w:szCs w:val="21"/>
        </w:rPr>
        <w:t> – суммарный момент инерции якоря и нагрузки;</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С</w:t>
      </w:r>
      <w:r>
        <w:rPr>
          <w:rStyle w:val="form"/>
          <w:rFonts w:eastAsiaTheme="majorEastAsia"/>
          <w:i/>
          <w:iCs/>
          <w:color w:val="000000"/>
          <w:vertAlign w:val="subscript"/>
        </w:rPr>
        <w:t>ω</w:t>
      </w:r>
      <w:proofErr w:type="spellEnd"/>
      <w:r>
        <w:rPr>
          <w:rFonts w:ascii="Arial" w:hAnsi="Arial" w:cs="Arial"/>
          <w:color w:val="000000"/>
          <w:sz w:val="21"/>
          <w:szCs w:val="21"/>
        </w:rPr>
        <w:t> – коэффициент связи между скоростью и ЭДС;</w:t>
      </w:r>
    </w:p>
    <w:p w:rsidR="003712DB" w:rsidRDefault="003712DB" w:rsidP="003712DB">
      <w:pPr>
        <w:pStyle w:val="gde"/>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С</w:t>
      </w:r>
      <w:r>
        <w:rPr>
          <w:rStyle w:val="form"/>
          <w:rFonts w:eastAsiaTheme="majorEastAsia"/>
          <w:i/>
          <w:iCs/>
          <w:color w:val="000000"/>
          <w:vertAlign w:val="subscript"/>
        </w:rPr>
        <w:t>М</w:t>
      </w:r>
      <w:r>
        <w:rPr>
          <w:rFonts w:ascii="Arial" w:hAnsi="Arial" w:cs="Arial"/>
          <w:color w:val="000000"/>
          <w:sz w:val="21"/>
          <w:szCs w:val="21"/>
        </w:rPr>
        <w:t> – коэффициент связи между током якоря и электромагнитным моментом.</w:t>
      </w:r>
    </w:p>
    <w:p w:rsidR="003712DB" w:rsidRDefault="003712DB">
      <w:r>
        <w:rPr>
          <w:noProof/>
          <w:lang w:eastAsia="ru-RU"/>
        </w:rPr>
        <w:drawing>
          <wp:inline distT="0" distB="0" distL="0" distR="0" wp14:anchorId="12082094" wp14:editId="373E2189">
            <wp:extent cx="4857750" cy="17240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57750" cy="1724025"/>
                    </a:xfrm>
                    <a:prstGeom prst="rect">
                      <a:avLst/>
                    </a:prstGeom>
                  </pic:spPr>
                </pic:pic>
              </a:graphicData>
            </a:graphic>
          </wp:inline>
        </w:drawing>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С точки зрения будущей модели, входными воздействиями являются напряжения якоря </w:t>
      </w:r>
      <w:r w:rsidRPr="003712DB">
        <w:rPr>
          <w:rFonts w:ascii="Times New Roman" w:eastAsia="Times New Roman" w:hAnsi="Times New Roman" w:cs="Times New Roman"/>
          <w:i/>
          <w:iCs/>
          <w:color w:val="000000"/>
          <w:sz w:val="26"/>
          <w:szCs w:val="26"/>
          <w:lang w:eastAsia="ru-RU"/>
        </w:rPr>
        <w:t>u</w:t>
      </w:r>
      <w:r w:rsidRPr="003712DB">
        <w:rPr>
          <w:rFonts w:ascii="Arial" w:eastAsia="Times New Roman" w:hAnsi="Arial" w:cs="Arial"/>
          <w:color w:val="000000"/>
          <w:sz w:val="21"/>
          <w:szCs w:val="21"/>
          <w:lang w:eastAsia="ru-RU"/>
        </w:rPr>
        <w:t> и момент сопротивления движению </w:t>
      </w:r>
      <w:r w:rsidRPr="003712DB">
        <w:rPr>
          <w:rFonts w:ascii="Times New Roman" w:eastAsia="Times New Roman" w:hAnsi="Times New Roman" w:cs="Times New Roman"/>
          <w:i/>
          <w:iCs/>
          <w:color w:val="000000"/>
          <w:sz w:val="26"/>
          <w:szCs w:val="26"/>
          <w:lang w:eastAsia="ru-RU"/>
        </w:rPr>
        <w:t>M</w:t>
      </w:r>
      <w:r w:rsidRPr="003712DB">
        <w:rPr>
          <w:rFonts w:ascii="Times New Roman" w:eastAsia="Times New Roman" w:hAnsi="Times New Roman" w:cs="Times New Roman"/>
          <w:i/>
          <w:iCs/>
          <w:color w:val="000000"/>
          <w:sz w:val="26"/>
          <w:szCs w:val="26"/>
          <w:vertAlign w:val="subscript"/>
          <w:lang w:eastAsia="ru-RU"/>
        </w:rPr>
        <w:t>С</w:t>
      </w:r>
      <w:r w:rsidRPr="003712DB">
        <w:rPr>
          <w:rFonts w:ascii="Arial" w:eastAsia="Times New Roman" w:hAnsi="Arial" w:cs="Arial"/>
          <w:color w:val="000000"/>
          <w:sz w:val="21"/>
          <w:szCs w:val="21"/>
          <w:lang w:eastAsia="ru-RU"/>
        </w:rPr>
        <w:t>, выходными переменными – электромагнитный момент двигателя </w:t>
      </w:r>
      <w:r w:rsidRPr="003712DB">
        <w:rPr>
          <w:rFonts w:ascii="Times New Roman" w:eastAsia="Times New Roman" w:hAnsi="Times New Roman" w:cs="Times New Roman"/>
          <w:i/>
          <w:iCs/>
          <w:color w:val="000000"/>
          <w:sz w:val="26"/>
          <w:szCs w:val="26"/>
          <w:lang w:eastAsia="ru-RU"/>
        </w:rPr>
        <w:t>M</w:t>
      </w:r>
      <w:r w:rsidRPr="003712DB">
        <w:rPr>
          <w:rFonts w:ascii="Arial" w:eastAsia="Times New Roman" w:hAnsi="Arial" w:cs="Arial"/>
          <w:color w:val="000000"/>
          <w:sz w:val="21"/>
          <w:szCs w:val="21"/>
          <w:lang w:eastAsia="ru-RU"/>
        </w:rPr>
        <w:t> и скорость вращения вала двигателя </w:t>
      </w:r>
      <w:r w:rsidRPr="003712DB">
        <w:rPr>
          <w:rFonts w:ascii="Times New Roman" w:eastAsia="Times New Roman" w:hAnsi="Times New Roman" w:cs="Times New Roman"/>
          <w:i/>
          <w:iCs/>
          <w:color w:val="000000"/>
          <w:sz w:val="26"/>
          <w:szCs w:val="26"/>
          <w:lang w:eastAsia="ru-RU"/>
        </w:rPr>
        <w:t>ω</w:t>
      </w:r>
      <w:r w:rsidRPr="003712DB">
        <w:rPr>
          <w:rFonts w:ascii="Arial" w:eastAsia="Times New Roman" w:hAnsi="Arial" w:cs="Arial"/>
          <w:color w:val="000000"/>
          <w:sz w:val="21"/>
          <w:szCs w:val="21"/>
          <w:lang w:eastAsia="ru-RU"/>
        </w:rPr>
        <w:t xml:space="preserve">, а переменными состояния – переменные стоящие </w:t>
      </w:r>
      <w:proofErr w:type="gramStart"/>
      <w:r w:rsidRPr="003712DB">
        <w:rPr>
          <w:rFonts w:ascii="Arial" w:eastAsia="Times New Roman" w:hAnsi="Arial" w:cs="Arial"/>
          <w:color w:val="000000"/>
          <w:sz w:val="21"/>
          <w:szCs w:val="21"/>
          <w:lang w:eastAsia="ru-RU"/>
        </w:rPr>
        <w:t>под знаком производной</w:t>
      </w:r>
      <w:proofErr w:type="gramEnd"/>
      <w:r w:rsidRPr="003712DB">
        <w:rPr>
          <w:rFonts w:ascii="Arial" w:eastAsia="Times New Roman" w:hAnsi="Arial" w:cs="Arial"/>
          <w:color w:val="000000"/>
          <w:sz w:val="21"/>
          <w:szCs w:val="21"/>
          <w:lang w:eastAsia="ru-RU"/>
        </w:rPr>
        <w:t xml:space="preserve"> (ток якоря </w:t>
      </w:r>
      <w:r w:rsidRPr="003712DB">
        <w:rPr>
          <w:rFonts w:ascii="Times New Roman" w:eastAsia="Times New Roman" w:hAnsi="Times New Roman" w:cs="Times New Roman"/>
          <w:i/>
          <w:iCs/>
          <w:color w:val="000000"/>
          <w:sz w:val="26"/>
          <w:szCs w:val="26"/>
          <w:lang w:eastAsia="ru-RU"/>
        </w:rPr>
        <w:t>i</w:t>
      </w:r>
      <w:r w:rsidRPr="003712DB">
        <w:rPr>
          <w:rFonts w:ascii="Arial" w:eastAsia="Times New Roman" w:hAnsi="Arial" w:cs="Arial"/>
          <w:color w:val="000000"/>
          <w:sz w:val="21"/>
          <w:szCs w:val="21"/>
          <w:lang w:eastAsia="ru-RU"/>
        </w:rPr>
        <w:t> и скорость вращения вала двигателя </w:t>
      </w:r>
      <w:r w:rsidRPr="003712DB">
        <w:rPr>
          <w:rFonts w:ascii="Times New Roman" w:eastAsia="Times New Roman" w:hAnsi="Times New Roman" w:cs="Times New Roman"/>
          <w:i/>
          <w:iCs/>
          <w:color w:val="000000"/>
          <w:sz w:val="26"/>
          <w:szCs w:val="26"/>
          <w:lang w:eastAsia="ru-RU"/>
        </w:rPr>
        <w:t>ω</w:t>
      </w:r>
      <w:r w:rsidRPr="003712DB">
        <w:rPr>
          <w:rFonts w:ascii="Arial" w:eastAsia="Times New Roman" w:hAnsi="Arial" w:cs="Arial"/>
          <w:color w:val="000000"/>
          <w:sz w:val="21"/>
          <w:szCs w:val="21"/>
          <w:lang w:eastAsia="ru-RU"/>
        </w:rPr>
        <w:t>). Остальные переменные, входящие в состав уравнений (1)–(4) являются параметрами, численные значения которых, необходимо будет задавать при проведении расчетов.</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 xml:space="preserve">Для создания модели, так </w:t>
      </w:r>
      <w:proofErr w:type="gramStart"/>
      <w:r w:rsidRPr="003712DB">
        <w:rPr>
          <w:rFonts w:ascii="Arial" w:eastAsia="Times New Roman" w:hAnsi="Arial" w:cs="Arial"/>
          <w:color w:val="000000"/>
          <w:sz w:val="21"/>
          <w:szCs w:val="21"/>
          <w:lang w:eastAsia="ru-RU"/>
        </w:rPr>
        <w:t>же</w:t>
      </w:r>
      <w:proofErr w:type="gramEnd"/>
      <w:r w:rsidRPr="003712DB">
        <w:rPr>
          <w:rFonts w:ascii="Arial" w:eastAsia="Times New Roman" w:hAnsi="Arial" w:cs="Arial"/>
          <w:color w:val="000000"/>
          <w:sz w:val="21"/>
          <w:szCs w:val="21"/>
          <w:lang w:eastAsia="ru-RU"/>
        </w:rPr>
        <w:t xml:space="preserve"> как и в случае насыщающегося реактора, сначала необходимо получить передаточные функции, применив к дифференциальным уравнениям, преобразование Лапласа. Дифференциальное уравнение (1) даст ПФ, связывающую ток якоря и падение напряжения на якоре:</w:t>
      </w:r>
    </w:p>
    <w:p w:rsidR="003712DB" w:rsidRDefault="003712DB">
      <w:r>
        <w:rPr>
          <w:noProof/>
          <w:lang w:eastAsia="ru-RU"/>
        </w:rPr>
        <w:drawing>
          <wp:inline distT="0" distB="0" distL="0" distR="0" wp14:anchorId="2A442AEA" wp14:editId="7D068AE7">
            <wp:extent cx="1704975" cy="7239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04975" cy="723900"/>
                    </a:xfrm>
                    <a:prstGeom prst="rect">
                      <a:avLst/>
                    </a:prstGeom>
                  </pic:spPr>
                </pic:pic>
              </a:graphicData>
            </a:graphic>
          </wp:inline>
        </w:drawing>
      </w:r>
    </w:p>
    <w:p w:rsidR="003712DB" w:rsidRDefault="003712DB">
      <w:pPr>
        <w:rPr>
          <w:rFonts w:ascii="Arial" w:hAnsi="Arial" w:cs="Arial"/>
          <w:color w:val="000000"/>
          <w:sz w:val="21"/>
          <w:szCs w:val="21"/>
          <w:shd w:val="clear" w:color="auto" w:fill="FFFFFF"/>
        </w:rPr>
      </w:pPr>
      <w:r>
        <w:rPr>
          <w:rFonts w:ascii="Arial" w:hAnsi="Arial" w:cs="Arial"/>
          <w:color w:val="000000"/>
          <w:sz w:val="21"/>
          <w:szCs w:val="21"/>
          <w:shd w:val="clear" w:color="auto" w:fill="FFFFFF"/>
        </w:rPr>
        <w:t>Уравнение (2) дает передаточную функцию, связывающую динамический момент и скорость вращения вала двигателя:</w:t>
      </w:r>
    </w:p>
    <w:p w:rsidR="003712DB" w:rsidRDefault="003712DB">
      <w:r>
        <w:rPr>
          <w:noProof/>
          <w:lang w:eastAsia="ru-RU"/>
        </w:rPr>
        <w:drawing>
          <wp:inline distT="0" distB="0" distL="0" distR="0" wp14:anchorId="1E6EFA91" wp14:editId="629D80F6">
            <wp:extent cx="2276475" cy="7048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76475" cy="704850"/>
                    </a:xfrm>
                    <a:prstGeom prst="rect">
                      <a:avLst/>
                    </a:prstGeom>
                  </pic:spPr>
                </pic:pic>
              </a:graphicData>
            </a:graphic>
          </wp:inline>
        </w:drawing>
      </w:r>
    </w:p>
    <w:p w:rsidR="003712DB" w:rsidRPr="003712DB" w:rsidRDefault="003712DB" w:rsidP="003712DB">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уравнения (3) и (4) остаются без изменений.</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 xml:space="preserve">итоге, используя уравнения (3)–(6) не трудно составить </w:t>
      </w:r>
      <w:proofErr w:type="spellStart"/>
      <w:r w:rsidRPr="003712DB">
        <w:rPr>
          <w:rFonts w:ascii="Arial" w:eastAsia="Times New Roman" w:hAnsi="Arial" w:cs="Arial"/>
          <w:color w:val="000000"/>
          <w:sz w:val="21"/>
          <w:szCs w:val="21"/>
          <w:lang w:eastAsia="ru-RU"/>
        </w:rPr>
        <w:t>Simulink</w:t>
      </w:r>
      <w:proofErr w:type="spellEnd"/>
      <w:r w:rsidRPr="003712DB">
        <w:rPr>
          <w:rFonts w:ascii="Arial" w:eastAsia="Times New Roman" w:hAnsi="Arial" w:cs="Arial"/>
          <w:color w:val="000000"/>
          <w:sz w:val="21"/>
          <w:szCs w:val="21"/>
          <w:lang w:eastAsia="ru-RU"/>
        </w:rPr>
        <w:t xml:space="preserve"> – модель двигателя. Схема модели, а также графики электромагнитного момента и скорости при прямом пуске двигателя показаны на рисунке 8. В примере приняты следующие значения параметров двигателя (в единицах Си): </w:t>
      </w:r>
      <w:r w:rsidRPr="003712DB">
        <w:rPr>
          <w:rFonts w:ascii="Times New Roman" w:eastAsia="Times New Roman" w:hAnsi="Times New Roman" w:cs="Times New Roman"/>
          <w:i/>
          <w:iCs/>
          <w:color w:val="000000"/>
          <w:sz w:val="26"/>
          <w:szCs w:val="26"/>
          <w:lang w:eastAsia="ru-RU"/>
        </w:rPr>
        <w:t>L</w:t>
      </w:r>
      <w:r w:rsidRPr="003712DB">
        <w:rPr>
          <w:rFonts w:ascii="Arial" w:eastAsia="Times New Roman" w:hAnsi="Arial" w:cs="Arial"/>
          <w:color w:val="000000"/>
          <w:sz w:val="21"/>
          <w:szCs w:val="21"/>
          <w:lang w:eastAsia="ru-RU"/>
        </w:rPr>
        <w:t>=0,001, </w:t>
      </w:r>
      <w:r w:rsidRPr="003712DB">
        <w:rPr>
          <w:rFonts w:ascii="Times New Roman" w:eastAsia="Times New Roman" w:hAnsi="Times New Roman" w:cs="Times New Roman"/>
          <w:i/>
          <w:iCs/>
          <w:color w:val="000000"/>
          <w:sz w:val="26"/>
          <w:szCs w:val="26"/>
          <w:lang w:eastAsia="ru-RU"/>
        </w:rPr>
        <w:t>R</w:t>
      </w:r>
      <w:r w:rsidRPr="003712DB">
        <w:rPr>
          <w:rFonts w:ascii="Arial" w:eastAsia="Times New Roman" w:hAnsi="Arial" w:cs="Arial"/>
          <w:color w:val="000000"/>
          <w:sz w:val="21"/>
          <w:szCs w:val="21"/>
          <w:lang w:eastAsia="ru-RU"/>
        </w:rPr>
        <w:t>=0,1, </w:t>
      </w:r>
      <w:r w:rsidRPr="003712DB">
        <w:rPr>
          <w:rFonts w:ascii="Times New Roman" w:eastAsia="Times New Roman" w:hAnsi="Times New Roman" w:cs="Times New Roman"/>
          <w:i/>
          <w:iCs/>
          <w:color w:val="000000"/>
          <w:sz w:val="26"/>
          <w:szCs w:val="26"/>
          <w:lang w:eastAsia="ru-RU"/>
        </w:rPr>
        <w:t>J</w:t>
      </w:r>
      <w:r w:rsidRPr="003712DB">
        <w:rPr>
          <w:rFonts w:ascii="Arial" w:eastAsia="Times New Roman" w:hAnsi="Arial" w:cs="Arial"/>
          <w:color w:val="000000"/>
          <w:sz w:val="21"/>
          <w:szCs w:val="21"/>
          <w:lang w:eastAsia="ru-RU"/>
        </w:rPr>
        <w:t>=10, </w:t>
      </w:r>
      <w:proofErr w:type="spellStart"/>
      <w:r w:rsidRPr="003712DB">
        <w:rPr>
          <w:rFonts w:ascii="Times New Roman" w:eastAsia="Times New Roman" w:hAnsi="Times New Roman" w:cs="Times New Roman"/>
          <w:i/>
          <w:iCs/>
          <w:color w:val="000000"/>
          <w:sz w:val="26"/>
          <w:szCs w:val="26"/>
          <w:lang w:eastAsia="ru-RU"/>
        </w:rPr>
        <w:t>Cm</w:t>
      </w:r>
      <w:proofErr w:type="spellEnd"/>
      <w:r w:rsidRPr="003712DB">
        <w:rPr>
          <w:rFonts w:ascii="Arial" w:eastAsia="Times New Roman" w:hAnsi="Arial" w:cs="Arial"/>
          <w:color w:val="000000"/>
          <w:sz w:val="21"/>
          <w:szCs w:val="21"/>
          <w:lang w:eastAsia="ru-RU"/>
        </w:rPr>
        <w:t>=10, </w:t>
      </w:r>
      <w:proofErr w:type="spellStart"/>
      <w:r w:rsidRPr="003712DB">
        <w:rPr>
          <w:rFonts w:ascii="Times New Roman" w:eastAsia="Times New Roman" w:hAnsi="Times New Roman" w:cs="Times New Roman"/>
          <w:i/>
          <w:iCs/>
          <w:color w:val="000000"/>
          <w:sz w:val="26"/>
          <w:szCs w:val="26"/>
          <w:lang w:eastAsia="ru-RU"/>
        </w:rPr>
        <w:t>Cw</w:t>
      </w:r>
      <w:proofErr w:type="spellEnd"/>
      <w:r w:rsidRPr="003712DB">
        <w:rPr>
          <w:rFonts w:ascii="Arial" w:eastAsia="Times New Roman" w:hAnsi="Arial" w:cs="Arial"/>
          <w:color w:val="000000"/>
          <w:sz w:val="21"/>
          <w:szCs w:val="21"/>
          <w:lang w:eastAsia="ru-RU"/>
        </w:rPr>
        <w:t>=10, </w:t>
      </w:r>
      <w:r w:rsidRPr="003712DB">
        <w:rPr>
          <w:rFonts w:ascii="Times New Roman" w:eastAsia="Times New Roman" w:hAnsi="Times New Roman" w:cs="Times New Roman"/>
          <w:i/>
          <w:iCs/>
          <w:color w:val="000000"/>
          <w:sz w:val="26"/>
          <w:szCs w:val="26"/>
          <w:lang w:eastAsia="ru-RU"/>
        </w:rPr>
        <w:t>U</w:t>
      </w:r>
      <w:r w:rsidRPr="003712DB">
        <w:rPr>
          <w:rFonts w:ascii="Arial" w:eastAsia="Times New Roman" w:hAnsi="Arial" w:cs="Arial"/>
          <w:color w:val="000000"/>
          <w:sz w:val="21"/>
          <w:szCs w:val="21"/>
          <w:lang w:eastAsia="ru-RU"/>
        </w:rPr>
        <w:t>=220, </w:t>
      </w:r>
      <w:proofErr w:type="spellStart"/>
      <w:r w:rsidRPr="003712DB">
        <w:rPr>
          <w:rFonts w:ascii="Times New Roman" w:eastAsia="Times New Roman" w:hAnsi="Times New Roman" w:cs="Times New Roman"/>
          <w:i/>
          <w:iCs/>
          <w:color w:val="000000"/>
          <w:sz w:val="26"/>
          <w:szCs w:val="26"/>
          <w:lang w:eastAsia="ru-RU"/>
        </w:rPr>
        <w:t>Fi</w:t>
      </w:r>
      <w:proofErr w:type="spellEnd"/>
      <w:r w:rsidRPr="003712DB">
        <w:rPr>
          <w:rFonts w:ascii="Arial" w:eastAsia="Times New Roman" w:hAnsi="Arial" w:cs="Arial"/>
          <w:color w:val="000000"/>
          <w:sz w:val="21"/>
          <w:szCs w:val="21"/>
          <w:lang w:eastAsia="ru-RU"/>
        </w:rPr>
        <w:t>=1.</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3712DB">
        <w:rPr>
          <w:rFonts w:ascii="Arial" w:eastAsia="Times New Roman" w:hAnsi="Arial" w:cs="Arial"/>
          <w:color w:val="000000"/>
          <w:sz w:val="21"/>
          <w:szCs w:val="21"/>
          <w:lang w:eastAsia="ru-RU"/>
        </w:rPr>
        <w:t>Наброс</w:t>
      </w:r>
      <w:proofErr w:type="spellEnd"/>
      <w:r w:rsidRPr="003712DB">
        <w:rPr>
          <w:rFonts w:ascii="Arial" w:eastAsia="Times New Roman" w:hAnsi="Arial" w:cs="Arial"/>
          <w:color w:val="000000"/>
          <w:sz w:val="21"/>
          <w:szCs w:val="21"/>
          <w:lang w:eastAsia="ru-RU"/>
        </w:rPr>
        <w:t xml:space="preserve"> нагрузки производится в момент времени 0,.2 с, величина момента нагрузки равна 2500 </w:t>
      </w:r>
      <w:proofErr w:type="spellStart"/>
      <w:r w:rsidRPr="003712DB">
        <w:rPr>
          <w:rFonts w:ascii="Arial" w:eastAsia="Times New Roman" w:hAnsi="Arial" w:cs="Arial"/>
          <w:color w:val="000000"/>
          <w:sz w:val="21"/>
          <w:szCs w:val="21"/>
          <w:lang w:eastAsia="ru-RU"/>
        </w:rPr>
        <w:t>Нм</w:t>
      </w:r>
      <w:proofErr w:type="spellEnd"/>
      <w:r w:rsidRPr="003712DB">
        <w:rPr>
          <w:rFonts w:ascii="Arial" w:eastAsia="Times New Roman" w:hAnsi="Arial" w:cs="Arial"/>
          <w:color w:val="000000"/>
          <w:sz w:val="21"/>
          <w:szCs w:val="21"/>
          <w:lang w:eastAsia="ru-RU"/>
        </w:rPr>
        <w:t>.</w:t>
      </w:r>
    </w:p>
    <w:p w:rsidR="003712DB" w:rsidRDefault="003712DB"/>
    <w:p w:rsidR="003712DB" w:rsidRDefault="003712DB">
      <w:r>
        <w:rPr>
          <w:noProof/>
          <w:lang w:eastAsia="ru-RU"/>
        </w:rPr>
        <w:drawing>
          <wp:inline distT="0" distB="0" distL="0" distR="0" wp14:anchorId="0285ED27" wp14:editId="4C9EE357">
            <wp:extent cx="7020560" cy="3851910"/>
            <wp:effectExtent l="0" t="0" r="889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020560" cy="3851910"/>
                    </a:xfrm>
                    <a:prstGeom prst="rect">
                      <a:avLst/>
                    </a:prstGeom>
                  </pic:spPr>
                </pic:pic>
              </a:graphicData>
            </a:graphic>
          </wp:inline>
        </w:drawing>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b/>
          <w:bCs/>
          <w:color w:val="000000"/>
          <w:sz w:val="21"/>
          <w:szCs w:val="21"/>
          <w:lang w:eastAsia="ru-RU"/>
        </w:rPr>
        <w:t>SPS модель двигателя на базе источника тока</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 xml:space="preserve">Для создания SPS модели двигателя на базе управляемого источника тока также можно воспользоваться общей схемой, приведенной на рисунке 1. Выход датчика напряжения должен быть подключен к первому входу сумматора, а на управляющий вход источника тока должен быть подан сигнал пропорциональный току якоря двигателя (выходной сигнал блока </w:t>
      </w:r>
      <w:proofErr w:type="spellStart"/>
      <w:r w:rsidRPr="003712DB">
        <w:rPr>
          <w:rFonts w:ascii="Arial" w:eastAsia="Times New Roman" w:hAnsi="Arial" w:cs="Arial"/>
          <w:color w:val="000000"/>
          <w:sz w:val="21"/>
          <w:szCs w:val="21"/>
          <w:lang w:eastAsia="ru-RU"/>
        </w:rPr>
        <w:t>Transfer</w:t>
      </w:r>
      <w:proofErr w:type="spellEnd"/>
      <w:r w:rsidRPr="003712DB">
        <w:rPr>
          <w:rFonts w:ascii="Arial" w:eastAsia="Times New Roman" w:hAnsi="Arial" w:cs="Arial"/>
          <w:color w:val="000000"/>
          <w:sz w:val="21"/>
          <w:szCs w:val="21"/>
          <w:lang w:eastAsia="ru-RU"/>
        </w:rPr>
        <w:t xml:space="preserve"> </w:t>
      </w:r>
      <w:proofErr w:type="spellStart"/>
      <w:r w:rsidRPr="003712DB">
        <w:rPr>
          <w:rFonts w:ascii="Arial" w:eastAsia="Times New Roman" w:hAnsi="Arial" w:cs="Arial"/>
          <w:color w:val="000000"/>
          <w:sz w:val="21"/>
          <w:szCs w:val="21"/>
          <w:lang w:eastAsia="ru-RU"/>
        </w:rPr>
        <w:t>Fcn</w:t>
      </w:r>
      <w:proofErr w:type="spellEnd"/>
      <w:r w:rsidRPr="003712DB">
        <w:rPr>
          <w:rFonts w:ascii="Arial" w:eastAsia="Times New Roman" w:hAnsi="Arial" w:cs="Arial"/>
          <w:color w:val="000000"/>
          <w:sz w:val="21"/>
          <w:szCs w:val="21"/>
          <w:lang w:eastAsia="ru-RU"/>
        </w:rPr>
        <w:t xml:space="preserve"> на рисунке 8). Схема блока SPS-модели двигателя, полная схема модели, а также графики тока якоря и скорости вращения вала показаны на рисунке 9.</w:t>
      </w:r>
    </w:p>
    <w:p w:rsidR="003712DB" w:rsidRDefault="003712DB">
      <w:r>
        <w:rPr>
          <w:noProof/>
          <w:lang w:eastAsia="ru-RU"/>
        </w:rPr>
        <w:drawing>
          <wp:inline distT="0" distB="0" distL="0" distR="0" wp14:anchorId="525C2DEE" wp14:editId="1C4C91D0">
            <wp:extent cx="7020560" cy="3593465"/>
            <wp:effectExtent l="0" t="0" r="889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020560" cy="3593465"/>
                    </a:xfrm>
                    <a:prstGeom prst="rect">
                      <a:avLst/>
                    </a:prstGeom>
                  </pic:spPr>
                </pic:pic>
              </a:graphicData>
            </a:graphic>
          </wp:inline>
        </w:drawing>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lastRenderedPageBreak/>
        <w:t xml:space="preserve">При работе с моделью двигателя следует иметь в виду, что она не является электротехнической в чистом виде, поскольку выходные сигналы электромагнитного момента и скорости являются обычными однонаправленными безразмерными сигналами </w:t>
      </w:r>
      <w:proofErr w:type="spellStart"/>
      <w:r w:rsidRPr="003712DB">
        <w:rPr>
          <w:rFonts w:ascii="Arial" w:eastAsia="Times New Roman" w:hAnsi="Arial" w:cs="Arial"/>
          <w:color w:val="000000"/>
          <w:sz w:val="21"/>
          <w:szCs w:val="21"/>
          <w:lang w:eastAsia="ru-RU"/>
        </w:rPr>
        <w:t>Simulink</w:t>
      </w:r>
      <w:proofErr w:type="spellEnd"/>
      <w:r w:rsidRPr="003712DB">
        <w:rPr>
          <w:rFonts w:ascii="Arial" w:eastAsia="Times New Roman" w:hAnsi="Arial" w:cs="Arial"/>
          <w:color w:val="000000"/>
          <w:sz w:val="21"/>
          <w:szCs w:val="21"/>
          <w:lang w:eastAsia="ru-RU"/>
        </w:rPr>
        <w:t>.</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b/>
          <w:bCs/>
          <w:color w:val="000000"/>
          <w:sz w:val="21"/>
          <w:szCs w:val="21"/>
          <w:lang w:eastAsia="ru-RU"/>
        </w:rPr>
        <w:t>SPS модель двигателя на базе источника напряжения</w:t>
      </w:r>
    </w:p>
    <w:p w:rsidR="003712DB" w:rsidRPr="003712DB" w:rsidRDefault="003712DB" w:rsidP="003712DB">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3712DB">
        <w:rPr>
          <w:rFonts w:ascii="Arial" w:eastAsia="Times New Roman" w:hAnsi="Arial" w:cs="Arial"/>
          <w:color w:val="000000"/>
          <w:sz w:val="21"/>
          <w:szCs w:val="21"/>
          <w:lang w:eastAsia="ru-RU"/>
        </w:rPr>
        <w:t xml:space="preserve">Модель двигателя постоянного тока можно создать также и на базе управляемого источника напряжения и датчика тока. Поскольку на схеме замещения цепи якоря двигателя (см. рисунок 7) присутствуют индуктивность и резистор, то эти элементы можно исключить из </w:t>
      </w:r>
      <w:proofErr w:type="spellStart"/>
      <w:r w:rsidRPr="003712DB">
        <w:rPr>
          <w:rFonts w:ascii="Arial" w:eastAsia="Times New Roman" w:hAnsi="Arial" w:cs="Arial"/>
          <w:color w:val="000000"/>
          <w:sz w:val="21"/>
          <w:szCs w:val="21"/>
          <w:lang w:eastAsia="ru-RU"/>
        </w:rPr>
        <w:t>Simulink</w:t>
      </w:r>
      <w:proofErr w:type="spellEnd"/>
      <w:r w:rsidRPr="003712DB">
        <w:rPr>
          <w:rFonts w:ascii="Arial" w:eastAsia="Times New Roman" w:hAnsi="Arial" w:cs="Arial"/>
          <w:color w:val="000000"/>
          <w:sz w:val="21"/>
          <w:szCs w:val="21"/>
          <w:lang w:eastAsia="ru-RU"/>
        </w:rPr>
        <w:t xml:space="preserve">-модели, исключив соответственно и уравнение (1), а также передаточную функцию (5). Сами резистор и индуктивность можно добавить к модели с помощью стандартного блока </w:t>
      </w:r>
      <w:proofErr w:type="spellStart"/>
      <w:r w:rsidRPr="003712DB">
        <w:rPr>
          <w:rFonts w:ascii="Arial" w:eastAsia="Times New Roman" w:hAnsi="Arial" w:cs="Arial"/>
          <w:color w:val="000000"/>
          <w:sz w:val="21"/>
          <w:szCs w:val="21"/>
          <w:lang w:eastAsia="ru-RU"/>
        </w:rPr>
        <w:t>Series</w:t>
      </w:r>
      <w:proofErr w:type="spellEnd"/>
      <w:r w:rsidRPr="003712DB">
        <w:rPr>
          <w:rFonts w:ascii="Arial" w:eastAsia="Times New Roman" w:hAnsi="Arial" w:cs="Arial"/>
          <w:color w:val="000000"/>
          <w:sz w:val="21"/>
          <w:szCs w:val="21"/>
          <w:lang w:eastAsia="ru-RU"/>
        </w:rPr>
        <w:t xml:space="preserve"> RLC </w:t>
      </w:r>
      <w:proofErr w:type="spellStart"/>
      <w:r w:rsidRPr="003712DB">
        <w:rPr>
          <w:rFonts w:ascii="Arial" w:eastAsia="Times New Roman" w:hAnsi="Arial" w:cs="Arial"/>
          <w:color w:val="000000"/>
          <w:sz w:val="21"/>
          <w:szCs w:val="21"/>
          <w:lang w:eastAsia="ru-RU"/>
        </w:rPr>
        <w:t>Branch</w:t>
      </w:r>
      <w:proofErr w:type="spellEnd"/>
      <w:r w:rsidRPr="003712DB">
        <w:rPr>
          <w:rFonts w:ascii="Arial" w:eastAsia="Times New Roman" w:hAnsi="Arial" w:cs="Arial"/>
          <w:color w:val="000000"/>
          <w:sz w:val="21"/>
          <w:szCs w:val="21"/>
          <w:lang w:eastAsia="ru-RU"/>
        </w:rPr>
        <w:t xml:space="preserve">. В результате будет получена комбинированная модель двигателя (см. рисунок 10). На рисунке 10 показана и полная схема модели с подключенным источником питания двигателя (DC </w:t>
      </w:r>
      <w:proofErr w:type="spellStart"/>
      <w:r w:rsidRPr="003712DB">
        <w:rPr>
          <w:rFonts w:ascii="Arial" w:eastAsia="Times New Roman" w:hAnsi="Arial" w:cs="Arial"/>
          <w:color w:val="000000"/>
          <w:sz w:val="21"/>
          <w:szCs w:val="21"/>
          <w:lang w:eastAsia="ru-RU"/>
        </w:rPr>
        <w:t>Voltage</w:t>
      </w:r>
      <w:proofErr w:type="spellEnd"/>
      <w:r w:rsidRPr="003712DB">
        <w:rPr>
          <w:rFonts w:ascii="Arial" w:eastAsia="Times New Roman" w:hAnsi="Arial" w:cs="Arial"/>
          <w:color w:val="000000"/>
          <w:sz w:val="21"/>
          <w:szCs w:val="21"/>
          <w:lang w:eastAsia="ru-RU"/>
        </w:rPr>
        <w:t xml:space="preserve"> </w:t>
      </w:r>
      <w:proofErr w:type="spellStart"/>
      <w:r w:rsidRPr="003712DB">
        <w:rPr>
          <w:rFonts w:ascii="Arial" w:eastAsia="Times New Roman" w:hAnsi="Arial" w:cs="Arial"/>
          <w:color w:val="000000"/>
          <w:sz w:val="21"/>
          <w:szCs w:val="21"/>
          <w:lang w:eastAsia="ru-RU"/>
        </w:rPr>
        <w:t>Source</w:t>
      </w:r>
      <w:proofErr w:type="spellEnd"/>
      <w:r w:rsidRPr="003712DB">
        <w:rPr>
          <w:rFonts w:ascii="Arial" w:eastAsia="Times New Roman" w:hAnsi="Arial" w:cs="Arial"/>
          <w:color w:val="000000"/>
          <w:sz w:val="21"/>
          <w:szCs w:val="21"/>
          <w:lang w:eastAsia="ru-RU"/>
        </w:rPr>
        <w:t xml:space="preserve">). Источник питания подключен через ключ </w:t>
      </w:r>
      <w:proofErr w:type="spellStart"/>
      <w:r w:rsidRPr="003712DB">
        <w:rPr>
          <w:rFonts w:ascii="Arial" w:eastAsia="Times New Roman" w:hAnsi="Arial" w:cs="Arial"/>
          <w:color w:val="000000"/>
          <w:sz w:val="21"/>
          <w:szCs w:val="21"/>
          <w:lang w:eastAsia="ru-RU"/>
        </w:rPr>
        <w:t>Ideal</w:t>
      </w:r>
      <w:proofErr w:type="spellEnd"/>
      <w:r w:rsidRPr="003712DB">
        <w:rPr>
          <w:rFonts w:ascii="Arial" w:eastAsia="Times New Roman" w:hAnsi="Arial" w:cs="Arial"/>
          <w:color w:val="000000"/>
          <w:sz w:val="21"/>
          <w:szCs w:val="21"/>
          <w:lang w:eastAsia="ru-RU"/>
        </w:rPr>
        <w:t xml:space="preserve"> </w:t>
      </w:r>
      <w:proofErr w:type="spellStart"/>
      <w:r w:rsidRPr="003712DB">
        <w:rPr>
          <w:rFonts w:ascii="Arial" w:eastAsia="Times New Roman" w:hAnsi="Arial" w:cs="Arial"/>
          <w:color w:val="000000"/>
          <w:sz w:val="21"/>
          <w:szCs w:val="21"/>
          <w:lang w:eastAsia="ru-RU"/>
        </w:rPr>
        <w:t>Switch</w:t>
      </w:r>
      <w:proofErr w:type="spellEnd"/>
      <w:r w:rsidRPr="003712DB">
        <w:rPr>
          <w:rFonts w:ascii="Arial" w:eastAsia="Times New Roman" w:hAnsi="Arial" w:cs="Arial"/>
          <w:color w:val="000000"/>
          <w:sz w:val="21"/>
          <w:szCs w:val="21"/>
          <w:lang w:eastAsia="ru-RU"/>
        </w:rPr>
        <w:t xml:space="preserve">, который замыкается через небольшой промежуток времени с начала расчета. Наличие такого ключа обусловлено особенностями расчета начальных условий в моделях </w:t>
      </w:r>
      <w:proofErr w:type="spellStart"/>
      <w:r w:rsidRPr="003712DB">
        <w:rPr>
          <w:rFonts w:ascii="Arial" w:eastAsia="Times New Roman" w:hAnsi="Arial" w:cs="Arial"/>
          <w:color w:val="000000"/>
          <w:sz w:val="21"/>
          <w:szCs w:val="21"/>
          <w:lang w:eastAsia="ru-RU"/>
        </w:rPr>
        <w:t>Sim</w:t>
      </w:r>
      <w:proofErr w:type="spellEnd"/>
      <w:r w:rsidRPr="003712DB">
        <w:rPr>
          <w:rFonts w:ascii="Arial" w:eastAsia="Times New Roman" w:hAnsi="Arial" w:cs="Arial"/>
          <w:color w:val="000000"/>
          <w:sz w:val="21"/>
          <w:szCs w:val="21"/>
          <w:lang w:eastAsia="ru-RU"/>
        </w:rPr>
        <w:t xml:space="preserve"> </w:t>
      </w:r>
      <w:proofErr w:type="spellStart"/>
      <w:r w:rsidRPr="003712DB">
        <w:rPr>
          <w:rFonts w:ascii="Arial" w:eastAsia="Times New Roman" w:hAnsi="Arial" w:cs="Arial"/>
          <w:color w:val="000000"/>
          <w:sz w:val="21"/>
          <w:szCs w:val="21"/>
          <w:lang w:eastAsia="ru-RU"/>
        </w:rPr>
        <w:t>Power</w:t>
      </w:r>
      <w:proofErr w:type="spellEnd"/>
      <w:r w:rsidRPr="003712DB">
        <w:rPr>
          <w:rFonts w:ascii="Arial" w:eastAsia="Times New Roman" w:hAnsi="Arial" w:cs="Arial"/>
          <w:color w:val="000000"/>
          <w:sz w:val="21"/>
          <w:szCs w:val="21"/>
          <w:lang w:eastAsia="ru-RU"/>
        </w:rPr>
        <w:t xml:space="preserve"> </w:t>
      </w:r>
      <w:proofErr w:type="spellStart"/>
      <w:r w:rsidRPr="003712DB">
        <w:rPr>
          <w:rFonts w:ascii="Arial" w:eastAsia="Times New Roman" w:hAnsi="Arial" w:cs="Arial"/>
          <w:color w:val="000000"/>
          <w:sz w:val="21"/>
          <w:szCs w:val="21"/>
          <w:lang w:eastAsia="ru-RU"/>
        </w:rPr>
        <w:t>System</w:t>
      </w:r>
      <w:proofErr w:type="spellEnd"/>
      <w:r w:rsidRPr="003712DB">
        <w:rPr>
          <w:rFonts w:ascii="Arial" w:eastAsia="Times New Roman" w:hAnsi="Arial" w:cs="Arial"/>
          <w:color w:val="000000"/>
          <w:sz w:val="21"/>
          <w:szCs w:val="21"/>
          <w:lang w:eastAsia="ru-RU"/>
        </w:rPr>
        <w:t xml:space="preserve">, а именно начальные условия для элемента </w:t>
      </w:r>
      <w:proofErr w:type="spellStart"/>
      <w:r w:rsidRPr="003712DB">
        <w:rPr>
          <w:rFonts w:ascii="Arial" w:eastAsia="Times New Roman" w:hAnsi="Arial" w:cs="Arial"/>
          <w:color w:val="000000"/>
          <w:sz w:val="21"/>
          <w:szCs w:val="21"/>
          <w:lang w:eastAsia="ru-RU"/>
        </w:rPr>
        <w:t>Series</w:t>
      </w:r>
      <w:proofErr w:type="spellEnd"/>
      <w:r w:rsidRPr="003712DB">
        <w:rPr>
          <w:rFonts w:ascii="Arial" w:eastAsia="Times New Roman" w:hAnsi="Arial" w:cs="Arial"/>
          <w:color w:val="000000"/>
          <w:sz w:val="21"/>
          <w:szCs w:val="21"/>
          <w:lang w:eastAsia="ru-RU"/>
        </w:rPr>
        <w:t xml:space="preserve"> RLC </w:t>
      </w:r>
      <w:proofErr w:type="spellStart"/>
      <w:r w:rsidRPr="003712DB">
        <w:rPr>
          <w:rFonts w:ascii="Arial" w:eastAsia="Times New Roman" w:hAnsi="Arial" w:cs="Arial"/>
          <w:color w:val="000000"/>
          <w:sz w:val="21"/>
          <w:szCs w:val="21"/>
          <w:lang w:eastAsia="ru-RU"/>
        </w:rPr>
        <w:t>Branch</w:t>
      </w:r>
      <w:proofErr w:type="spellEnd"/>
      <w:r w:rsidRPr="003712DB">
        <w:rPr>
          <w:rFonts w:ascii="Arial" w:eastAsia="Times New Roman" w:hAnsi="Arial" w:cs="Arial"/>
          <w:color w:val="000000"/>
          <w:sz w:val="21"/>
          <w:szCs w:val="21"/>
          <w:lang w:eastAsia="ru-RU"/>
        </w:rPr>
        <w:t xml:space="preserve"> (ток в элементе) задаются как для установившегося режима. Наличие же первоначально разомкнутого ключа обеспечивает нулевые (точнее близкие к нулевым) начальные условия.</w:t>
      </w:r>
    </w:p>
    <w:p w:rsidR="003712DB" w:rsidRDefault="003712DB">
      <w:pPr>
        <w:rPr>
          <w:rFonts w:ascii="Arial" w:hAnsi="Arial" w:cs="Arial"/>
          <w:color w:val="000000"/>
          <w:sz w:val="21"/>
          <w:szCs w:val="21"/>
          <w:shd w:val="clear" w:color="auto" w:fill="FFFFFF"/>
        </w:rPr>
      </w:pPr>
      <w:r>
        <w:rPr>
          <w:noProof/>
          <w:lang w:eastAsia="ru-RU"/>
        </w:rPr>
        <w:drawing>
          <wp:inline distT="0" distB="0" distL="0" distR="0" wp14:anchorId="64A957D7" wp14:editId="233806BA">
            <wp:extent cx="4991100" cy="45529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91100" cy="4552950"/>
                    </a:xfrm>
                    <a:prstGeom prst="rect">
                      <a:avLst/>
                    </a:prstGeom>
                  </pic:spPr>
                </pic:pic>
              </a:graphicData>
            </a:graphic>
          </wp:inline>
        </w:drawing>
      </w:r>
    </w:p>
    <w:p w:rsidR="003712DB" w:rsidRDefault="003712DB">
      <w:pPr>
        <w:rPr>
          <w:rFonts w:ascii="Arial" w:hAnsi="Arial" w:cs="Arial"/>
          <w:color w:val="000000"/>
          <w:sz w:val="21"/>
          <w:szCs w:val="21"/>
          <w:shd w:val="clear" w:color="auto" w:fill="FFFFFF"/>
        </w:rPr>
      </w:pPr>
      <w:r>
        <w:rPr>
          <w:rFonts w:ascii="Arial" w:hAnsi="Arial" w:cs="Arial"/>
          <w:color w:val="000000"/>
          <w:sz w:val="21"/>
          <w:szCs w:val="21"/>
          <w:shd w:val="clear" w:color="auto" w:fill="FFFFFF"/>
        </w:rPr>
        <w:t>Таким образом, используя изложенную выше методику, пользователь может создавать модели электротехнических устройств различной степени сложности.</w:t>
      </w:r>
    </w:p>
    <w:p w:rsidR="003712DB" w:rsidRDefault="003712DB">
      <w:bookmarkStart w:id="0" w:name="_GoBack"/>
      <w:bookmarkEnd w:id="0"/>
    </w:p>
    <w:sectPr w:rsidR="003712DB" w:rsidSect="00A63D8E">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1020C"/>
    <w:multiLevelType w:val="multilevel"/>
    <w:tmpl w:val="8C1A5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EE0549"/>
    <w:multiLevelType w:val="multilevel"/>
    <w:tmpl w:val="ECCCE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A12F0C"/>
    <w:multiLevelType w:val="multilevel"/>
    <w:tmpl w:val="34A6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4C016B"/>
    <w:multiLevelType w:val="multilevel"/>
    <w:tmpl w:val="11762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963"/>
    <w:rsid w:val="003712DB"/>
    <w:rsid w:val="005B7B8A"/>
    <w:rsid w:val="00A63D8E"/>
    <w:rsid w:val="00B54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ACB1A"/>
  <w15:chartTrackingRefBased/>
  <w15:docId w15:val="{31091561-11F0-4F24-9D8C-A8ADD48C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63D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63D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D8E"/>
    <w:rPr>
      <w:rFonts w:ascii="Times New Roman" w:eastAsia="Times New Roman" w:hAnsi="Times New Roman" w:cs="Times New Roman"/>
      <w:b/>
      <w:bCs/>
      <w:kern w:val="36"/>
      <w:sz w:val="48"/>
      <w:szCs w:val="48"/>
      <w:lang w:eastAsia="ru-RU"/>
    </w:rPr>
  </w:style>
  <w:style w:type="paragraph" w:customStyle="1" w:styleId="otstup">
    <w:name w:val="otstup"/>
    <w:basedOn w:val="a"/>
    <w:rsid w:val="00A6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A63D8E"/>
    <w:rPr>
      <w:rFonts w:asciiTheme="majorHAnsi" w:eastAsiaTheme="majorEastAsia" w:hAnsiTheme="majorHAnsi" w:cstheme="majorBidi"/>
      <w:color w:val="2E74B5" w:themeColor="accent1" w:themeShade="BF"/>
      <w:sz w:val="26"/>
      <w:szCs w:val="26"/>
    </w:rPr>
  </w:style>
  <w:style w:type="character" w:customStyle="1" w:styleId="form">
    <w:name w:val="form"/>
    <w:basedOn w:val="a0"/>
    <w:rsid w:val="00A63D8E"/>
  </w:style>
  <w:style w:type="character" w:styleId="a3">
    <w:name w:val="Hyperlink"/>
    <w:basedOn w:val="a0"/>
    <w:uiPriority w:val="99"/>
    <w:semiHidden/>
    <w:unhideWhenUsed/>
    <w:rsid w:val="00A63D8E"/>
    <w:rPr>
      <w:color w:val="0000FF"/>
      <w:u w:val="single"/>
    </w:rPr>
  </w:style>
  <w:style w:type="paragraph" w:customStyle="1" w:styleId="gde">
    <w:name w:val="gde"/>
    <w:basedOn w:val="a"/>
    <w:rsid w:val="00A63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371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712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014857">
      <w:bodyDiv w:val="1"/>
      <w:marLeft w:val="0"/>
      <w:marRight w:val="0"/>
      <w:marTop w:val="0"/>
      <w:marBottom w:val="0"/>
      <w:divBdr>
        <w:top w:val="none" w:sz="0" w:space="0" w:color="auto"/>
        <w:left w:val="none" w:sz="0" w:space="0" w:color="auto"/>
        <w:bottom w:val="none" w:sz="0" w:space="0" w:color="auto"/>
        <w:right w:val="none" w:sz="0" w:space="0" w:color="auto"/>
      </w:divBdr>
    </w:div>
    <w:div w:id="340745950">
      <w:bodyDiv w:val="1"/>
      <w:marLeft w:val="0"/>
      <w:marRight w:val="0"/>
      <w:marTop w:val="0"/>
      <w:marBottom w:val="0"/>
      <w:divBdr>
        <w:top w:val="none" w:sz="0" w:space="0" w:color="auto"/>
        <w:left w:val="none" w:sz="0" w:space="0" w:color="auto"/>
        <w:bottom w:val="none" w:sz="0" w:space="0" w:color="auto"/>
        <w:right w:val="none" w:sz="0" w:space="0" w:color="auto"/>
      </w:divBdr>
    </w:div>
    <w:div w:id="412045067">
      <w:bodyDiv w:val="1"/>
      <w:marLeft w:val="0"/>
      <w:marRight w:val="0"/>
      <w:marTop w:val="0"/>
      <w:marBottom w:val="0"/>
      <w:divBdr>
        <w:top w:val="none" w:sz="0" w:space="0" w:color="auto"/>
        <w:left w:val="none" w:sz="0" w:space="0" w:color="auto"/>
        <w:bottom w:val="none" w:sz="0" w:space="0" w:color="auto"/>
        <w:right w:val="none" w:sz="0" w:space="0" w:color="auto"/>
      </w:divBdr>
      <w:divsChild>
        <w:div w:id="2126850947">
          <w:marLeft w:val="0"/>
          <w:marRight w:val="0"/>
          <w:marTop w:val="100"/>
          <w:marBottom w:val="100"/>
          <w:divBdr>
            <w:top w:val="none" w:sz="0" w:space="0" w:color="auto"/>
            <w:left w:val="single" w:sz="24" w:space="0" w:color="FFFFFF"/>
            <w:bottom w:val="none" w:sz="0" w:space="0" w:color="auto"/>
            <w:right w:val="single" w:sz="24" w:space="0" w:color="FFFFFF"/>
          </w:divBdr>
        </w:div>
        <w:div w:id="16934548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18020563">
      <w:bodyDiv w:val="1"/>
      <w:marLeft w:val="0"/>
      <w:marRight w:val="0"/>
      <w:marTop w:val="0"/>
      <w:marBottom w:val="0"/>
      <w:divBdr>
        <w:top w:val="none" w:sz="0" w:space="0" w:color="auto"/>
        <w:left w:val="none" w:sz="0" w:space="0" w:color="auto"/>
        <w:bottom w:val="none" w:sz="0" w:space="0" w:color="auto"/>
        <w:right w:val="none" w:sz="0" w:space="0" w:color="auto"/>
      </w:divBdr>
      <w:divsChild>
        <w:div w:id="98567165">
          <w:marLeft w:val="0"/>
          <w:marRight w:val="0"/>
          <w:marTop w:val="100"/>
          <w:marBottom w:val="100"/>
          <w:divBdr>
            <w:top w:val="none" w:sz="0" w:space="0" w:color="auto"/>
            <w:left w:val="single" w:sz="24" w:space="0" w:color="FFFFFF"/>
            <w:bottom w:val="none" w:sz="0" w:space="0" w:color="auto"/>
            <w:right w:val="single" w:sz="24" w:space="0" w:color="FFFFFF"/>
          </w:divBdr>
        </w:div>
        <w:div w:id="17298378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25839417">
      <w:bodyDiv w:val="1"/>
      <w:marLeft w:val="0"/>
      <w:marRight w:val="0"/>
      <w:marTop w:val="0"/>
      <w:marBottom w:val="0"/>
      <w:divBdr>
        <w:top w:val="none" w:sz="0" w:space="0" w:color="auto"/>
        <w:left w:val="none" w:sz="0" w:space="0" w:color="auto"/>
        <w:bottom w:val="none" w:sz="0" w:space="0" w:color="auto"/>
        <w:right w:val="none" w:sz="0" w:space="0" w:color="auto"/>
      </w:divBdr>
      <w:divsChild>
        <w:div w:id="664288239">
          <w:marLeft w:val="0"/>
          <w:marRight w:val="0"/>
          <w:marTop w:val="100"/>
          <w:marBottom w:val="100"/>
          <w:divBdr>
            <w:top w:val="none" w:sz="0" w:space="0" w:color="auto"/>
            <w:left w:val="single" w:sz="24" w:space="0" w:color="FFFFFF"/>
            <w:bottom w:val="none" w:sz="0" w:space="0" w:color="auto"/>
            <w:right w:val="single" w:sz="24" w:space="0" w:color="FFFFFF"/>
          </w:divBdr>
        </w:div>
        <w:div w:id="16870984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735201573">
      <w:bodyDiv w:val="1"/>
      <w:marLeft w:val="0"/>
      <w:marRight w:val="0"/>
      <w:marTop w:val="0"/>
      <w:marBottom w:val="0"/>
      <w:divBdr>
        <w:top w:val="none" w:sz="0" w:space="0" w:color="auto"/>
        <w:left w:val="none" w:sz="0" w:space="0" w:color="auto"/>
        <w:bottom w:val="none" w:sz="0" w:space="0" w:color="auto"/>
        <w:right w:val="none" w:sz="0" w:space="0" w:color="auto"/>
      </w:divBdr>
    </w:div>
    <w:div w:id="776221923">
      <w:bodyDiv w:val="1"/>
      <w:marLeft w:val="0"/>
      <w:marRight w:val="0"/>
      <w:marTop w:val="0"/>
      <w:marBottom w:val="0"/>
      <w:divBdr>
        <w:top w:val="none" w:sz="0" w:space="0" w:color="auto"/>
        <w:left w:val="none" w:sz="0" w:space="0" w:color="auto"/>
        <w:bottom w:val="none" w:sz="0" w:space="0" w:color="auto"/>
        <w:right w:val="none" w:sz="0" w:space="0" w:color="auto"/>
      </w:divBdr>
    </w:div>
    <w:div w:id="787163906">
      <w:bodyDiv w:val="1"/>
      <w:marLeft w:val="0"/>
      <w:marRight w:val="0"/>
      <w:marTop w:val="0"/>
      <w:marBottom w:val="0"/>
      <w:divBdr>
        <w:top w:val="none" w:sz="0" w:space="0" w:color="auto"/>
        <w:left w:val="none" w:sz="0" w:space="0" w:color="auto"/>
        <w:bottom w:val="none" w:sz="0" w:space="0" w:color="auto"/>
        <w:right w:val="none" w:sz="0" w:space="0" w:color="auto"/>
      </w:divBdr>
    </w:div>
    <w:div w:id="948044881">
      <w:bodyDiv w:val="1"/>
      <w:marLeft w:val="0"/>
      <w:marRight w:val="0"/>
      <w:marTop w:val="0"/>
      <w:marBottom w:val="0"/>
      <w:divBdr>
        <w:top w:val="none" w:sz="0" w:space="0" w:color="auto"/>
        <w:left w:val="none" w:sz="0" w:space="0" w:color="auto"/>
        <w:bottom w:val="none" w:sz="0" w:space="0" w:color="auto"/>
        <w:right w:val="none" w:sz="0" w:space="0" w:color="auto"/>
      </w:divBdr>
      <w:divsChild>
        <w:div w:id="1456095258">
          <w:marLeft w:val="0"/>
          <w:marRight w:val="0"/>
          <w:marTop w:val="100"/>
          <w:marBottom w:val="100"/>
          <w:divBdr>
            <w:top w:val="none" w:sz="0" w:space="0" w:color="auto"/>
            <w:left w:val="single" w:sz="24" w:space="0" w:color="FFFFFF"/>
            <w:bottom w:val="none" w:sz="0" w:space="0" w:color="auto"/>
            <w:right w:val="single" w:sz="24" w:space="0" w:color="FFFFFF"/>
          </w:divBdr>
        </w:div>
        <w:div w:id="15926612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2491207">
      <w:bodyDiv w:val="1"/>
      <w:marLeft w:val="0"/>
      <w:marRight w:val="0"/>
      <w:marTop w:val="0"/>
      <w:marBottom w:val="0"/>
      <w:divBdr>
        <w:top w:val="none" w:sz="0" w:space="0" w:color="auto"/>
        <w:left w:val="none" w:sz="0" w:space="0" w:color="auto"/>
        <w:bottom w:val="none" w:sz="0" w:space="0" w:color="auto"/>
        <w:right w:val="none" w:sz="0" w:space="0" w:color="auto"/>
      </w:divBdr>
      <w:divsChild>
        <w:div w:id="1456289905">
          <w:marLeft w:val="0"/>
          <w:marRight w:val="0"/>
          <w:marTop w:val="100"/>
          <w:marBottom w:val="100"/>
          <w:divBdr>
            <w:top w:val="none" w:sz="0" w:space="0" w:color="auto"/>
            <w:left w:val="single" w:sz="24" w:space="0" w:color="FFFFFF"/>
            <w:bottom w:val="none" w:sz="0" w:space="0" w:color="auto"/>
            <w:right w:val="single" w:sz="24" w:space="0" w:color="FFFFFF"/>
          </w:divBdr>
        </w:div>
        <w:div w:id="14275066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5412808">
      <w:bodyDiv w:val="1"/>
      <w:marLeft w:val="0"/>
      <w:marRight w:val="0"/>
      <w:marTop w:val="0"/>
      <w:marBottom w:val="0"/>
      <w:divBdr>
        <w:top w:val="none" w:sz="0" w:space="0" w:color="auto"/>
        <w:left w:val="none" w:sz="0" w:space="0" w:color="auto"/>
        <w:bottom w:val="none" w:sz="0" w:space="0" w:color="auto"/>
        <w:right w:val="none" w:sz="0" w:space="0" w:color="auto"/>
      </w:divBdr>
    </w:div>
    <w:div w:id="1727989563">
      <w:bodyDiv w:val="1"/>
      <w:marLeft w:val="0"/>
      <w:marRight w:val="0"/>
      <w:marTop w:val="0"/>
      <w:marBottom w:val="0"/>
      <w:divBdr>
        <w:top w:val="none" w:sz="0" w:space="0" w:color="auto"/>
        <w:left w:val="none" w:sz="0" w:space="0" w:color="auto"/>
        <w:bottom w:val="none" w:sz="0" w:space="0" w:color="auto"/>
        <w:right w:val="none" w:sz="0" w:space="0" w:color="auto"/>
      </w:divBdr>
    </w:div>
    <w:div w:id="1893928718">
      <w:bodyDiv w:val="1"/>
      <w:marLeft w:val="0"/>
      <w:marRight w:val="0"/>
      <w:marTop w:val="0"/>
      <w:marBottom w:val="0"/>
      <w:divBdr>
        <w:top w:val="none" w:sz="0" w:space="0" w:color="auto"/>
        <w:left w:val="none" w:sz="0" w:space="0" w:color="auto"/>
        <w:bottom w:val="none" w:sz="0" w:space="0" w:color="auto"/>
        <w:right w:val="none" w:sz="0" w:space="0" w:color="auto"/>
      </w:divBdr>
      <w:divsChild>
        <w:div w:id="1186792045">
          <w:marLeft w:val="0"/>
          <w:marRight w:val="0"/>
          <w:marTop w:val="100"/>
          <w:marBottom w:val="100"/>
          <w:divBdr>
            <w:top w:val="none" w:sz="0" w:space="0" w:color="auto"/>
            <w:left w:val="single" w:sz="24" w:space="0" w:color="FFFFFF"/>
            <w:bottom w:val="none" w:sz="0" w:space="0" w:color="auto"/>
            <w:right w:val="single" w:sz="24" w:space="0" w:color="FFFFFF"/>
          </w:divBdr>
        </w:div>
        <w:div w:id="4251497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7961196">
      <w:bodyDiv w:val="1"/>
      <w:marLeft w:val="0"/>
      <w:marRight w:val="0"/>
      <w:marTop w:val="0"/>
      <w:marBottom w:val="0"/>
      <w:divBdr>
        <w:top w:val="none" w:sz="0" w:space="0" w:color="auto"/>
        <w:left w:val="none" w:sz="0" w:space="0" w:color="auto"/>
        <w:bottom w:val="none" w:sz="0" w:space="0" w:color="auto"/>
        <w:right w:val="none" w:sz="0" w:space="0" w:color="auto"/>
      </w:divBdr>
    </w:div>
    <w:div w:id="1953896098">
      <w:bodyDiv w:val="1"/>
      <w:marLeft w:val="0"/>
      <w:marRight w:val="0"/>
      <w:marTop w:val="0"/>
      <w:marBottom w:val="0"/>
      <w:divBdr>
        <w:top w:val="none" w:sz="0" w:space="0" w:color="auto"/>
        <w:left w:val="none" w:sz="0" w:space="0" w:color="auto"/>
        <w:bottom w:val="none" w:sz="0" w:space="0" w:color="auto"/>
        <w:right w:val="none" w:sz="0" w:space="0" w:color="auto"/>
      </w:divBdr>
    </w:div>
    <w:div w:id="2081058074">
      <w:bodyDiv w:val="1"/>
      <w:marLeft w:val="0"/>
      <w:marRight w:val="0"/>
      <w:marTop w:val="0"/>
      <w:marBottom w:val="0"/>
      <w:divBdr>
        <w:top w:val="none" w:sz="0" w:space="0" w:color="auto"/>
        <w:left w:val="none" w:sz="0" w:space="0" w:color="auto"/>
        <w:bottom w:val="none" w:sz="0" w:space="0" w:color="auto"/>
        <w:right w:val="none" w:sz="0" w:space="0" w:color="auto"/>
      </w:divBdr>
      <w:divsChild>
        <w:div w:id="50275731">
          <w:marLeft w:val="0"/>
          <w:marRight w:val="0"/>
          <w:marTop w:val="100"/>
          <w:marBottom w:val="100"/>
          <w:divBdr>
            <w:top w:val="none" w:sz="0" w:space="0" w:color="auto"/>
            <w:left w:val="single" w:sz="24" w:space="0" w:color="FFFFFF"/>
            <w:bottom w:val="none" w:sz="0" w:space="0" w:color="auto"/>
            <w:right w:val="single" w:sz="24" w:space="0" w:color="FFFFFF"/>
          </w:divBdr>
        </w:div>
        <w:div w:id="17173125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3592160">
      <w:bodyDiv w:val="1"/>
      <w:marLeft w:val="0"/>
      <w:marRight w:val="0"/>
      <w:marTop w:val="0"/>
      <w:marBottom w:val="0"/>
      <w:divBdr>
        <w:top w:val="none" w:sz="0" w:space="0" w:color="auto"/>
        <w:left w:val="none" w:sz="0" w:space="0" w:color="auto"/>
        <w:bottom w:val="none" w:sz="0" w:space="0" w:color="auto"/>
        <w:right w:val="none" w:sz="0" w:space="0" w:color="auto"/>
      </w:divBdr>
      <w:divsChild>
        <w:div w:id="1923905273">
          <w:marLeft w:val="0"/>
          <w:marRight w:val="0"/>
          <w:marTop w:val="100"/>
          <w:marBottom w:val="100"/>
          <w:divBdr>
            <w:top w:val="none" w:sz="0" w:space="0" w:color="auto"/>
            <w:left w:val="single" w:sz="24" w:space="0" w:color="FFFFFF"/>
            <w:bottom w:val="none" w:sz="0" w:space="0" w:color="auto"/>
            <w:right w:val="single" w:sz="24" w:space="0" w:color="FFFFFF"/>
          </w:divBdr>
        </w:div>
        <w:div w:id="1765881569">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161674"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docs.cntd.ru/document/1200164121"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http://docs.cntd.ru/document/1200004323" TargetMode="Externa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hyperlink" Target="http://docs.cntd.ru/document/1200045443" TargetMode="Externa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2262</Words>
  <Characters>12898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2023-05-26T07:18:00Z</dcterms:created>
  <dcterms:modified xsi:type="dcterms:W3CDTF">2023-05-26T07:31:00Z</dcterms:modified>
</cp:coreProperties>
</file>