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 занятия: 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формирование знаний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окритерия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оценки качества транспортного обслуживания населения, а также умений и навыков расчета показателей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Время выполнения работы – 4 часа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Порядок выполнения работы</w:t>
      </w:r>
    </w:p>
    <w:p w:rsidR="00AA0250" w:rsidRPr="00AA0250" w:rsidRDefault="00AA0250" w:rsidP="00AA0250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Ознакомиться с теоретической частью работы.</w:t>
      </w:r>
    </w:p>
    <w:p w:rsidR="00AA0250" w:rsidRPr="00AA0250" w:rsidRDefault="00AA0250" w:rsidP="00AA0250">
      <w:pPr>
        <w:numPr>
          <w:ilvl w:val="0"/>
          <w:numId w:val="1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Выполнить задания, приведенные в конце работы, в соответствии со своим вариантом.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Теоретические сведения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Основные проблемы транспортного обслуживания населения и производства в городах обусловлены большим количеством факторов: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недостаточное развитие улично-дорожной сети и транспортных линий (в большинстве городов России плотность дорог составляет 1,7-1,9 км/км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vertAlign w:val="superscript"/>
          <w:lang w:eastAsia="ru-RU"/>
        </w:rPr>
        <w:t>2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что гораздо ниже фактических потребностей);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активная точечная застройка архитектурно сложившихся территорий;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отсутствие комплексного подхода к градостроительству и планировке городских территорий;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неэффективные мероприятия в области организации дорожного движения и повышения его безопасности;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отсутствие организационных и планировочных решений в организации парковочного пространства, заездных карманов на остановочных пунктах;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резкое развитие жилых, культурно-деловых и промышленных зон;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резкое повышение уровня автомобилизации;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недостаточно развитая система городского пассажирского транспорта и его неэффективное функционирование;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нерациональное расходование средств на малоэффективные транспортные проекты в угоду корпоративных интересов;</w:t>
      </w:r>
    </w:p>
    <w:p w:rsidR="00AA0250" w:rsidRPr="00AA0250" w:rsidRDefault="00AA0250" w:rsidP="00AA0250">
      <w:pPr>
        <w:numPr>
          <w:ilvl w:val="0"/>
          <w:numId w:val="2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отсутствие планомерности и преемственности в принятии управленческих решений.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Низкий уровень развития транспортных систем и их элементов, отсутствие комплексного подхода к решению проблем приводят к негативным последствиям:</w:t>
      </w:r>
    </w:p>
    <w:p w:rsidR="00AA0250" w:rsidRPr="00AA0250" w:rsidRDefault="00AA0250" w:rsidP="00AA0250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перепробеги индивидуального транспорта;</w:t>
      </w:r>
    </w:p>
    <w:p w:rsidR="00AA0250" w:rsidRPr="00AA0250" w:rsidRDefault="00AA0250" w:rsidP="00AA0250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увеличение временных затрат на перемещения;</w:t>
      </w:r>
    </w:p>
    <w:p w:rsidR="00AA0250" w:rsidRPr="00AA0250" w:rsidRDefault="00AA0250" w:rsidP="00AA0250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ухудшение экологической обстановки;</w:t>
      </w:r>
    </w:p>
    <w:p w:rsidR="00AA0250" w:rsidRPr="00AA0250" w:rsidRDefault="00AA0250" w:rsidP="00AA0250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ухудшение психофизиологического состояния водителей;</w:t>
      </w:r>
    </w:p>
    <w:p w:rsidR="00AA0250" w:rsidRPr="00AA0250" w:rsidRDefault="00AA0250" w:rsidP="00AA0250">
      <w:pPr>
        <w:numPr>
          <w:ilvl w:val="0"/>
          <w:numId w:val="3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использование личного автотранспорта вместо транспорта общего пользования.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Разнообразие современных транспортных средств, их постоянная модернизация, жесткие технические нормы возведения транспортных сооружений, а также высокие экологические требования охраны и защиты окружающей городской среды обуславливают сложность формирования транспортных систем городов, оказывают активное влияние на пространственную организацию города, его транспортно-планировочный каркас. Под влиянием этих факторов должна развиваться и улично-дорожная сеть города, которая, по существу, является основной технической системой планировочной структуры города. Планировочная организация магистральной улично-дорожной сети, установление параметров 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магистралей в красных линиях и линиях застройки закрепляют физические пространства структурных элементов всей освоенной территории на многие десятилетия вперед, что делает процесс формирования систем автомобильных магистралей в городах исключительно важным и ответственным. Определение числа основных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структуроформирующих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магистралей для конкретного города, обоснование для данной градостроительной ситуации плотности сети магистралей, необходимой ширины проезжих частей в увязке с системой пассажирского транспорта, общественных центров, других объектов притяжения приобретают первостепенное значение.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п. 11.2 Свода правил </w:t>
      </w:r>
      <w:hyperlink r:id="rId5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СП 42.13330.2016 «Градостроительство. Планировка и застройка городских и сельских поселений», являющегося актуализированной версией </w:t>
        </w:r>
        <w:proofErr w:type="spellStart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СНиП</w:t>
        </w:r>
        <w:proofErr w:type="spellEnd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 2.07.01-89*</w:t>
        </w:r>
      </w:hyperlink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указано, что затраты времени в городах на передвижение от мест проживания до мест работы для 90% трудящихся (в один конец) не должны превышать показателей, приведенных в таблице 1.</w:t>
      </w:r>
    </w:p>
    <w:p w:rsidR="00AA0250" w:rsidRPr="00AA0250" w:rsidRDefault="00AA0250" w:rsidP="00AA0250">
      <w:pPr>
        <w:pStyle w:val="otstup"/>
        <w:ind w:left="167" w:right="167"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t>Таблица 1 – Затраты времени на передвижение от мест проживания до мест приложения</w:t>
      </w:r>
      <w:proofErr w:type="gramStart"/>
      <w:r>
        <w:t xml:space="preserve"> </w:t>
      </w:r>
      <w:r>
        <w:rPr>
          <w:noProof/>
        </w:rPr>
        <w:drawing>
          <wp:inline distT="0" distB="0" distL="0" distR="0">
            <wp:extent cx="5932805" cy="8185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0250">
        <w:rPr>
          <w:rFonts w:ascii="Arial" w:hAnsi="Arial" w:cs="Arial"/>
          <w:color w:val="000000"/>
          <w:sz w:val="23"/>
          <w:szCs w:val="23"/>
        </w:rPr>
        <w:t>Д</w:t>
      </w:r>
      <w:proofErr w:type="gramEnd"/>
      <w:r w:rsidRPr="00AA0250">
        <w:rPr>
          <w:rFonts w:ascii="Arial" w:hAnsi="Arial" w:cs="Arial"/>
          <w:color w:val="000000"/>
          <w:sz w:val="23"/>
          <w:szCs w:val="23"/>
        </w:rPr>
        <w:t>ля ежедневно приезжающих на работу в город-центр из других поселений указанные нормы затрат времени допускается увеличивать, но не более чем в два раза, т.е. наибольшие затраты времени на трудовые передвижения не должны превышать 1,5 ч. Для городов с численностью населения свыше 2 млн. чел. максимально допустимые затраты времени должны определяться по специальным обоснованиям с учетом фактического расселения, размещения мест приложения труда и уровня развития транспортных систем.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Оптимальным в данном случае будет определение соответствия данного критерия нормативным значениям как затрат времени на проезд на легковом автомобиле от наиболее удаленной точки города до его центра.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Подобная проверка по доступности центра позволяет принципиально определить развитость улично-дорожной сети, в частности магистральной, основной функцией которой является формирование транспортных связей между городскими окраинами и центром. Это гарантирует достижение социально приемлемых затрат времени на поездки, стабильность и устойчивость транспортно-планировочной структуры города на длительный период времени.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Плотность развития магистральной улично-дорожной сети в настоящее время формально не нормируется.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городах преобладают традиционные приемы организации транспортного обслуживания районов и устройства наземных транспортных систем. Обычно линии пассажирского транспорта совмещаются с сетью улиц и дорог, что приводит к упрощению планировочных решений районов, позволяет экономить территории, капитальные и материальные средства на развитие транспортных систем. Вместе с тем для крупных районов и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межмагистральных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территорий допускается устройство внутрирайонных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пешеходно-транспортных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улиц с организацией трамвайно-пешеходного, троллейбусно-пешеходного или автобусно-пешеходного движения. Однако такие возможности фактически не используются в 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отечественной практике, что может свидетельствовать об определенном консерватизме, а также об отсутствии комплексности разработок транспортно-планировочных проектов, отсутствии творческих контактов архитекторов и инженеров-транспортников.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Немаловажным показателем качества жизни в городе является качество транспортного обслуживания населения пассажирским транспортом.</w:t>
      </w:r>
    </w:p>
    <w:p w:rsidR="00AA0250" w:rsidRPr="00AA0250" w:rsidRDefault="00606D5B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7" w:history="1">
        <w:r w:rsidR="00AA0250"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Распоряжением Министерства транспорта РФ от 31 января 2017 г. № НА-19-р</w:t>
        </w:r>
      </w:hyperlink>
      <w:r w:rsidR="00AA0250"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утвержден социальный стандарт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транспортом. Указанным стандартом определены некоторые показатели качества, приведенные ниже.</w:t>
      </w:r>
    </w:p>
    <w:p w:rsidR="00AA0250" w:rsidRPr="00AA0250" w:rsidRDefault="00AA0250" w:rsidP="00AA0250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Доступность 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(выражается в наличии возможности получения населением услуг по перевозке пассажиров и багажа автомобильным и городским наземным электрическим транспортом по маршрутам регулярных перевозок):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территориальная доступность остановочного пункта – расстояние кратчайшего пешеходного пути следования от ближайшей к остановочному пункту границы земельного участка, на котором расположен объект, до ближайшего остановочного пункта (таблица 2);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доступность остановочных пунктов, автовокзалов и автостанций для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маломобильных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групп населения – должны отвечать требованиям «</w:t>
      </w:r>
      <w:hyperlink r:id="rId8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СП 59.13330.2012. Свод правил. Доступность зданий и сооружений для </w:t>
        </w:r>
        <w:proofErr w:type="spellStart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маломобильных</w:t>
        </w:r>
        <w:proofErr w:type="spellEnd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 групп населения»</w:t>
        </w:r>
      </w:hyperlink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иным нормативным актам;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доступность транспортных средств для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маломобильных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групп населения – транспортные средства, используемые для осуществления перевозок пассажиров и багажа автомобильным транспортом и городским наземным электрическим транспортом по маршрутам регулярных перевозок, должны отвечать требованиям </w:t>
      </w:r>
      <w:hyperlink r:id="rId9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ГОСТ </w:t>
        </w:r>
        <w:proofErr w:type="gramStart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Р</w:t>
        </w:r>
        <w:proofErr w:type="gramEnd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 51090-2017 «Средства общественного пассажирского транспорта. Общие технические требования доступности и безопасности для инвалидов»</w:t>
        </w:r>
      </w:hyperlink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 иным нормативным актам;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ценовая доступность поездок по муниципальным маршрутам регулярных перевозок – среднемесячные расходы пассажира на осуществление поездок автомобильным транспортом и городским наземным электрическим транспортом по муниципальным маршрутам регулярных перевозок в пределах муниципального образования должны составлять не более 7% от величины среднего арифметического взвешенного среднедушевого дохода населения в субъекте Российской Федерации, где расположено муниципальное образование (среднемесячное количество поездок приведено в таблице 3);</w:t>
      </w:r>
      <w:proofErr w:type="gramEnd"/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оснащенность автовокзалов, автостанций и остановочных пунктов – должны быть оснащены средствами зрительного информирования пассажиров с актуальной информацией (стенды, табло и т.д.) и прочими элементами обустройства в соответствии с требованиями, установленными подпунктами 14-18 </w:t>
      </w:r>
      <w:hyperlink r:id="rId10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Правил перевозок пассажиров и багажа автомобильным транспортом и городским наземным электрическим транспортом (утверждены Постановлением Правительства РФ от 14 февраля 2009 г. № 112)</w:t>
        </w:r>
      </w:hyperlink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  <w:proofErr w:type="gramEnd"/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частота обслуживания остановочных пунктов.</w:t>
      </w:r>
    </w:p>
    <w:p w:rsidR="00AA0250" w:rsidRPr="00AA0250" w:rsidRDefault="00AA0250" w:rsidP="00AA0250">
      <w:pPr>
        <w:spacing w:after="0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A0250" w:rsidRPr="00AA0250" w:rsidRDefault="00AA0250" w:rsidP="00AA0250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Надежность 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(выражается в стабильности получения услуг по перевозке пассажиров и багажа автомобильным и городским наземным электрическим 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транспортом по маршрутам регулярных перевозок и предсказуемости уровня их качества).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Характеристикой данного показателя является соблюдение расписания маршрутов регулярных перевозок – отправление каждого рейса маршрута от каждого остановочного пункта, автовокзала или автостанции в соответствии с установленным расписанием (допускается отклонение в пределах двух минут от указанного времени). Количество рейсов, осуществленных с опозданием свыше двух минут, не должно превышать 15% от общего количества 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рейсов маршрутов регулярных перевозок соответствующего вида сообщения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AA0250" w:rsidRPr="00AA0250" w:rsidRDefault="00AA0250" w:rsidP="00AA0250">
      <w:pPr>
        <w:numPr>
          <w:ilvl w:val="0"/>
          <w:numId w:val="4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Комфортность 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(выражается в уровне удобства пользования услугами по перевозке пассажиров и багажа автомобильным и городским наземным электрическим транспортом по маршрутам регулярных перевозок, в т.ч. отсутствии физиологического и психологического дискомфорта для пассажиров в процессе потребления услуги):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оснащенность подвижного состава системами информирования пассажиров – в соответствии с п. 32, 36 и подпунктами «а», «б» и «г» п. 37 Правил перевозок пассажиров и багажа автомобильным транспортом и городским наземным электрическим транспортом;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уровень шума в салоне транспортных средств – в соответствии с </w:t>
      </w:r>
      <w:hyperlink r:id="rId11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ГОСТ </w:t>
        </w:r>
        <w:proofErr w:type="gramStart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Р</w:t>
        </w:r>
        <w:proofErr w:type="gramEnd"/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 xml:space="preserve"> 51616-2015 «Автомобильные транспортные средства. Шум внутренний. Допустимые уровни и методы испытаний»;</w:t>
        </w:r>
      </w:hyperlink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температура в салоне транспортных средств – в соответствии с температурой наружного воздуха: не менее 12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°С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при среднесуточной температуре наружного воздуха ниже 5°С, не более 25°С при среднесуточной температуре наружного воздуха более 20°С;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соблюдение норм вместимости – фактическая наполненность транспортного средства составляет не более 5 стоящих человек на 1 м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vertAlign w:val="superscript"/>
          <w:lang w:eastAsia="ru-RU"/>
        </w:rPr>
        <w:t>2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свободной площади пола салона транспортного средства, предусмотренной для размещения стоящих пассажиров (для муниципальных и межмуниципальных перевозок), только с использованием сидячих мест (для смежных, межрегиональных и международных перевозок);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количество пересадок – общее количество пересадок, осуществляемых пассажиром в целях перемещения в любую точку муниципального образования не более двух в муниципальных образованиях с численностью населения более 500 тыс. чел., не более одной в остальных муниципальных образованиях;</w:t>
      </w:r>
    </w:p>
    <w:p w:rsidR="00AA0250" w:rsidRPr="00AA0250" w:rsidRDefault="00AA0250" w:rsidP="00AA0250">
      <w:pPr>
        <w:numPr>
          <w:ilvl w:val="1"/>
          <w:numId w:val="4"/>
        </w:numPr>
        <w:spacing w:before="100" w:beforeAutospacing="1" w:after="100" w:afterAutospacing="1" w:line="240" w:lineRule="auto"/>
        <w:ind w:left="88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экологичность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– соответствие экологическому классу ЕВРО-4 и выше.</w:t>
      </w:r>
    </w:p>
    <w:p w:rsidR="00AA0250" w:rsidRPr="00AA0250" w:rsidRDefault="00AA0250" w:rsidP="00AA0250">
      <w:pPr>
        <w:pStyle w:val="otstup"/>
        <w:ind w:left="167" w:right="167"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t>Таблица 2 – Предельные расстояния кратчайшего пешеходного пути от границ участков объектов до остановочных пунктов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lastRenderedPageBreak/>
        <w:drawing>
          <wp:inline distT="0" distB="0" distL="0" distR="0">
            <wp:extent cx="5943600" cy="24987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2805" cy="43624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3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2805" cy="9144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0250">
        <w:rPr>
          <w:rFonts w:ascii="Arial" w:hAnsi="Arial" w:cs="Arial"/>
          <w:color w:val="000000"/>
          <w:sz w:val="23"/>
          <w:szCs w:val="23"/>
        </w:rPr>
        <w:t>Повышение эффективности, рентабельности, доступности для населения городского пассажирского транспорта должно представлять основное направление совершенствования транспортных систем в городах, важным условием которого является </w:t>
      </w:r>
      <w:r w:rsidRPr="00AA0250">
        <w:rPr>
          <w:rFonts w:ascii="Arial" w:hAnsi="Arial" w:cs="Arial"/>
          <w:b/>
          <w:bCs/>
          <w:color w:val="000000"/>
          <w:sz w:val="23"/>
        </w:rPr>
        <w:t>дифференциация и специализация транспортных путей сообщения.</w:t>
      </w:r>
      <w:r w:rsidRPr="00AA0250">
        <w:rPr>
          <w:rFonts w:ascii="Arial" w:hAnsi="Arial" w:cs="Arial"/>
          <w:color w:val="000000"/>
          <w:sz w:val="23"/>
          <w:szCs w:val="23"/>
        </w:rPr>
        <w:t xml:space="preserve"> Так, создание на магистралях общегородского значения выделенных полос движения автобусов, обособленных проезжих частей для </w:t>
      </w:r>
      <w:proofErr w:type="spellStart"/>
      <w:proofErr w:type="gramStart"/>
      <w:r w:rsidRPr="00AA0250">
        <w:rPr>
          <w:rFonts w:ascii="Arial" w:hAnsi="Arial" w:cs="Arial"/>
          <w:color w:val="000000"/>
          <w:sz w:val="23"/>
          <w:szCs w:val="23"/>
        </w:rPr>
        <w:t>экспресс-автобусов</w:t>
      </w:r>
      <w:proofErr w:type="spellEnd"/>
      <w:proofErr w:type="gramEnd"/>
      <w:r w:rsidRPr="00AA0250">
        <w:rPr>
          <w:rFonts w:ascii="Arial" w:hAnsi="Arial" w:cs="Arial"/>
          <w:color w:val="000000"/>
          <w:sz w:val="23"/>
          <w:szCs w:val="23"/>
        </w:rPr>
        <w:t xml:space="preserve"> или транзитного движения может дать следующие результаты:</w:t>
      </w:r>
    </w:p>
    <w:p w:rsidR="00AA0250" w:rsidRPr="00AA0250" w:rsidRDefault="00AA0250" w:rsidP="00AA0250">
      <w:pPr>
        <w:numPr>
          <w:ilvl w:val="0"/>
          <w:numId w:val="5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формирование однородных транспортных потоков;</w:t>
      </w:r>
    </w:p>
    <w:p w:rsidR="00AA0250" w:rsidRPr="00AA0250" w:rsidRDefault="00AA0250" w:rsidP="00AA0250">
      <w:pPr>
        <w:numPr>
          <w:ilvl w:val="0"/>
          <w:numId w:val="5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возможность использования более совершенных транспортных средств и конструкции путей сообщения;</w:t>
      </w:r>
    </w:p>
    <w:p w:rsidR="00AA0250" w:rsidRPr="00AA0250" w:rsidRDefault="00AA0250" w:rsidP="00AA0250">
      <w:pPr>
        <w:numPr>
          <w:ilvl w:val="0"/>
          <w:numId w:val="5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применение эффективных средств регулирования движения транспорта;</w:t>
      </w:r>
    </w:p>
    <w:p w:rsidR="00AA0250" w:rsidRPr="00AA0250" w:rsidRDefault="00AA0250" w:rsidP="00AA0250">
      <w:pPr>
        <w:numPr>
          <w:ilvl w:val="0"/>
          <w:numId w:val="5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повышение безопасность движения транспорта и уровень обслуживания населения.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Выделенные полосы движения автобусов могут устраиваться как с внешней, так и с внутренней стороны проезжей части в зависимости от длины перегонов и интенсивности пассажиропотока. При этом при прохождении перекрестков средствами регулирования должно обеспечиваться приоритетное движение трамваев, автобусов и троллейбусов.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крупнейших городах на магистральных улицах общегородского значения необходимо организовывать так называемые «коридоры»: для скоростного движения рельсового транспорта – это изолированное, обособленное полотно, для автобусов – самостоятельная проезжая часть шириной 8-10 м, устанавливаемая по оси магистрали или на втором уровне в виде эстакады. Совместно со специально оборудованными автобусами большой вместимости по таким коридорам допускается движение индивидуальных легковых автомобилей при их полной загрузке (полосы HOV</w:t>
      </w:r>
      <w:r w:rsidRPr="00AA025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).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Методика оценки качества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по маршрутам регулярных перевозок (далее – Методика) является приложением к рассмотренному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вышеСоциальному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стандарту транспортного обслуживания населения при осуществлении </w:t>
      </w:r>
      <w:proofErr w:type="spell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перевозокпассажиров</w:t>
      </w:r>
      <w:proofErr w:type="spell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багажа автомобильным транспортом и городским наземным электрическим транспортом, утвержденному </w:t>
      </w:r>
      <w:hyperlink r:id="rId15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Распоряжением Министерства транспорта Российской Федерации от 31 января 2017 г. № НА-19-р</w:t>
        </w:r>
      </w:hyperlink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proofErr w:type="gramEnd"/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Согласно Методике показатели, используемые при определении качества транспортного обслуживания населения, рассчитываются за отдельно взятый отчетный период (календарный год).</w:t>
      </w:r>
    </w:p>
    <w:p w:rsidR="00AA0250" w:rsidRPr="00F245D4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Определение доступности транспортного обслуживания</w:t>
      </w:r>
    </w:p>
    <w:p w:rsidR="00F245D4" w:rsidRPr="00F245D4" w:rsidRDefault="00F245D4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43600" cy="3253740"/>
            <wp:effectExtent l="19050" t="0" r="0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5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32805" cy="3009265"/>
            <wp:effectExtent l="19050" t="0" r="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00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32805" cy="2924175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32805" cy="1797050"/>
            <wp:effectExtent l="19050" t="0" r="0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79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Определение надежности транспортного обслуживания</w:t>
      </w:r>
    </w:p>
    <w:p w:rsidR="00F245D4" w:rsidRPr="00F245D4" w:rsidRDefault="00F245D4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32805" cy="2785745"/>
            <wp:effectExtent l="19050" t="0" r="0" b="0"/>
            <wp:docPr id="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78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Определение комфортности транспортного обслуживания</w:t>
      </w:r>
    </w:p>
    <w:p w:rsidR="00F245D4" w:rsidRPr="00F245D4" w:rsidRDefault="00F245D4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43600" cy="2998470"/>
            <wp:effectExtent l="19050" t="0" r="0" b="0"/>
            <wp:docPr id="2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32805" cy="3136900"/>
            <wp:effectExtent l="19050" t="0" r="0" b="0"/>
            <wp:docPr id="2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32805" cy="3211195"/>
            <wp:effectExtent l="19050" t="0" r="0" b="0"/>
            <wp:docPr id="2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21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Определение качества транспортного обслуживания населения</w:t>
      </w:r>
    </w:p>
    <w:p w:rsidR="00F245D4" w:rsidRPr="00F245D4" w:rsidRDefault="00F245D4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932805" cy="3072765"/>
            <wp:effectExtent l="19050" t="0" r="0" b="0"/>
            <wp:docPr id="2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07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для выполнения расчета</w:t>
      </w:r>
    </w:p>
    <w:p w:rsid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Выполнить расчет показателей качества транспортного обслуживания населения и сделать вывод об уровне качество обслуживания по данным, приведенным в таблице.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 занятия: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формирование практических умений и навыков расчета суточной и часовой интенсивностей движения.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Время выполнения работы – 2 часа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lastRenderedPageBreak/>
        <w:t>Порядок выполнения работы</w:t>
      </w:r>
    </w:p>
    <w:p w:rsidR="00AA0250" w:rsidRPr="00AA0250" w:rsidRDefault="00AA0250" w:rsidP="00AA0250">
      <w:pPr>
        <w:numPr>
          <w:ilvl w:val="0"/>
          <w:numId w:val="6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Ознакомиться с теоретической частью работы.</w:t>
      </w:r>
    </w:p>
    <w:p w:rsidR="00AA0250" w:rsidRPr="00AA0250" w:rsidRDefault="00AA0250" w:rsidP="00AA0250">
      <w:pPr>
        <w:numPr>
          <w:ilvl w:val="0"/>
          <w:numId w:val="6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Выполнить задания, приведенные в конце работы, в соответствии со своим вариантом.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Теоретические сведения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Расчет производится в соответствии с </w:t>
      </w:r>
      <w:hyperlink r:id="rId25" w:history="1">
        <w:r w:rsidRPr="00AA0250">
          <w:rPr>
            <w:rFonts w:ascii="Arial" w:eastAsia="Times New Roman" w:hAnsi="Arial" w:cs="Arial"/>
            <w:color w:val="551A8B"/>
            <w:sz w:val="23"/>
            <w:u w:val="single"/>
            <w:lang w:eastAsia="ru-RU"/>
          </w:rPr>
          <w:t>ОДМ 218.2.020-2012 «Методические рекомендации по оценке пропускной способности автомобильных дорог»</w:t>
        </w:r>
      </w:hyperlink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Интенсивность движения – один из главных параметров, используемых в технико-экономических расчетах. Показатель среднегодовой суточной интенсивности движения используется для расчетов дорожной одежды и экономических параметров, часовой – для расчета требуемой пропускной способности дороги, разработки мероприятий по повышению безопасности движения.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Среднегодовую суточную интенсивность движения определяют в соответствии с требованиями, предъявляемыми к проведению экономических изысканий при проектировании автомобильных дорог.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Часовая интенсивность на эксплуатирующихся дорогах определяется непосредственными наблюдениями или по результатам учета движения.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Интенсивность движения – характеристика, которая является в значительной степени неравномерной и изменяется в течение суток, по дням недели, по месяцам. Каждое из этих изменений характеризует коэффициент неравномерности:</w:t>
      </w:r>
    </w:p>
    <w:p w:rsidR="00AA0250" w:rsidRPr="00AA0250" w:rsidRDefault="00AA0250" w:rsidP="00AA0250">
      <w:pPr>
        <w:numPr>
          <w:ilvl w:val="0"/>
          <w:numId w:val="7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отношение часового объема движения к 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суточному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</w:p>
    <w:p w:rsidR="00AA0250" w:rsidRPr="00AA0250" w:rsidRDefault="00AA0250" w:rsidP="00AA0250">
      <w:pPr>
        <w:numPr>
          <w:ilvl w:val="0"/>
          <w:numId w:val="7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отношение суточного объема к 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недельному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;</w:t>
      </w:r>
    </w:p>
    <w:p w:rsidR="00AA0250" w:rsidRPr="00AA0250" w:rsidRDefault="00AA0250" w:rsidP="00AA0250">
      <w:pPr>
        <w:numPr>
          <w:ilvl w:val="0"/>
          <w:numId w:val="7"/>
        </w:numPr>
        <w:spacing w:before="100" w:beforeAutospacing="1" w:after="100" w:afterAutospacing="1" w:line="240" w:lineRule="auto"/>
        <w:ind w:left="167" w:right="1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отношение месячного объема к 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годовому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AA0250" w:rsidRPr="00AA0250" w:rsidRDefault="00AA0250" w:rsidP="00AA0250">
      <w:pPr>
        <w:spacing w:before="100" w:beforeAutospacing="1" w:after="100" w:afterAutospacing="1" w:line="240" w:lineRule="auto"/>
        <w:ind w:left="167" w:right="167" w:firstLine="567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AA025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Среднегодовая суточная интенсивность</w:t>
      </w:r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gramStart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через</w:t>
      </w:r>
      <w:proofErr w:type="gramEnd"/>
      <w:r w:rsidRPr="00AA025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часовую определяется следующим образом:</w:t>
      </w:r>
    </w:p>
    <w:p w:rsidR="00AA0250" w:rsidRDefault="00AA0250" w:rsidP="00AA0250">
      <w:pPr>
        <w:pStyle w:val="gde"/>
        <w:spacing w:after="0" w:afterAutospacing="0"/>
        <w:ind w:left="167" w:right="1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noProof/>
        </w:rPr>
        <w:drawing>
          <wp:inline distT="0" distB="0" distL="0" distR="0">
            <wp:extent cx="5932805" cy="37211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</w:rPr>
        <w:t>где </w:t>
      </w:r>
      <w:r w:rsidR="00606D5B" w:rsidRPr="00606D5B">
        <w:rPr>
          <w:rFonts w:ascii="Arial" w:hAnsi="Arial" w:cs="Arial"/>
          <w:color w:val="000000"/>
          <w:sz w:val="23"/>
          <w:szCs w:val="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8.4pt;height:18.4pt"/>
        </w:pict>
      </w:r>
      <w:r>
        <w:rPr>
          <w:rFonts w:ascii="Arial" w:hAnsi="Arial" w:cs="Arial"/>
          <w:color w:val="000000"/>
          <w:sz w:val="23"/>
          <w:szCs w:val="23"/>
        </w:rPr>
        <w:t xml:space="preserve"> – среднегодовая часовая интенсивность движения,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</w:rPr>
        <w:t>ед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</w:rPr>
        <w:t>/ч.</w:t>
      </w:r>
    </w:p>
    <w:p w:rsidR="00AA0250" w:rsidRDefault="00AA0250" w:rsidP="00AA0250">
      <w:pPr>
        <w:pStyle w:val="otstup"/>
        <w:ind w:left="167" w:right="167"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таблице 1 приведены усредненные коэффициенты неравномерности движения, которые могут уточняться на основе данных учета движения.</w:t>
      </w:r>
    </w:p>
    <w:p w:rsidR="007E2C8C" w:rsidRDefault="00AA0250">
      <w:r>
        <w:rPr>
          <w:noProof/>
          <w:lang w:eastAsia="ru-RU"/>
        </w:rPr>
        <w:lastRenderedPageBreak/>
        <w:drawing>
          <wp:inline distT="0" distB="0" distL="0" distR="0">
            <wp:extent cx="5943600" cy="240284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3600" cy="24669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45618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243459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332803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2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2466975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AE2">
        <w:rPr>
          <w:noProof/>
          <w:lang w:eastAsia="ru-RU"/>
        </w:rPr>
        <w:lastRenderedPageBreak/>
        <w:drawing>
          <wp:inline distT="0" distB="0" distL="0" distR="0">
            <wp:extent cx="5932805" cy="230695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30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AE2">
        <w:rPr>
          <w:noProof/>
          <w:lang w:eastAsia="ru-RU"/>
        </w:rPr>
        <w:drawing>
          <wp:inline distT="0" distB="0" distL="0" distR="0">
            <wp:extent cx="5932805" cy="245618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5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AE2">
        <w:rPr>
          <w:noProof/>
          <w:lang w:eastAsia="ru-RU"/>
        </w:rPr>
        <w:drawing>
          <wp:inline distT="0" distB="0" distL="0" distR="0">
            <wp:extent cx="5932805" cy="159512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2C8C" w:rsidSect="00D7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13C3"/>
    <w:multiLevelType w:val="multilevel"/>
    <w:tmpl w:val="87BE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9C434F"/>
    <w:multiLevelType w:val="multilevel"/>
    <w:tmpl w:val="0E787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AA2214"/>
    <w:multiLevelType w:val="multilevel"/>
    <w:tmpl w:val="47EEC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A513CB"/>
    <w:multiLevelType w:val="multilevel"/>
    <w:tmpl w:val="29B8F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2D7F31"/>
    <w:multiLevelType w:val="multilevel"/>
    <w:tmpl w:val="C3984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F665FB"/>
    <w:multiLevelType w:val="multilevel"/>
    <w:tmpl w:val="3DE4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C28BC"/>
    <w:multiLevelType w:val="multilevel"/>
    <w:tmpl w:val="D7488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D427E5"/>
    <w:rsid w:val="001860EE"/>
    <w:rsid w:val="00606D5B"/>
    <w:rsid w:val="007E2C8C"/>
    <w:rsid w:val="00A36AE2"/>
    <w:rsid w:val="00AA0250"/>
    <w:rsid w:val="00D427E5"/>
    <w:rsid w:val="00D74A36"/>
    <w:rsid w:val="00F2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tstup">
    <w:name w:val="otstup"/>
    <w:basedOn w:val="a"/>
    <w:rsid w:val="00AA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A0250"/>
    <w:rPr>
      <w:b/>
      <w:bCs/>
    </w:rPr>
  </w:style>
  <w:style w:type="character" w:styleId="a4">
    <w:name w:val="Hyperlink"/>
    <w:basedOn w:val="a0"/>
    <w:uiPriority w:val="99"/>
    <w:semiHidden/>
    <w:unhideWhenUsed/>
    <w:rsid w:val="00AA025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0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0250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AA0250"/>
    <w:rPr>
      <w:i/>
      <w:iCs/>
    </w:rPr>
  </w:style>
  <w:style w:type="paragraph" w:customStyle="1" w:styleId="gde">
    <w:name w:val="gde"/>
    <w:basedOn w:val="a"/>
    <w:rsid w:val="00AA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51030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image" Target="media/image22.png"/><Relationship Id="rId7" Type="http://schemas.openxmlformats.org/officeDocument/2006/relationships/hyperlink" Target="https://www.mintrans.ru/documents/8/6802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hyperlink" Target="http://docs.cntd.ru/document/1200092512" TargetMode="External"/><Relationship Id="rId33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ocs.cntd.ru/document/1200136410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theme" Target="theme/theme1.xml"/><Relationship Id="rId5" Type="http://schemas.openxmlformats.org/officeDocument/2006/relationships/hyperlink" Target="http://docs.cntd.ru/document/456054209" TargetMode="External"/><Relationship Id="rId15" Type="http://schemas.openxmlformats.org/officeDocument/2006/relationships/hyperlink" Target="https://www.mintrans.ru/documents/8/6802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hyperlink" Target="http://docs.cntd.ru/document/902144752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156994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13</Pages>
  <Words>2348</Words>
  <Characters>13389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2024-03-03T08:44:00Z</dcterms:created>
  <dcterms:modified xsi:type="dcterms:W3CDTF">2024-04-03T18:09:00Z</dcterms:modified>
</cp:coreProperties>
</file>