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2C9" w:rsidRPr="00DF30FE" w:rsidRDefault="00B952C9" w:rsidP="00B952C9">
      <w:pPr>
        <w:pStyle w:val="3"/>
        <w:spacing w:before="0" w:line="360" w:lineRule="auto"/>
        <w:ind w:firstLine="709"/>
        <w:jc w:val="center"/>
        <w:rPr>
          <w:rFonts w:cs="Times New Roman"/>
          <w:color w:val="008FC8"/>
        </w:rPr>
      </w:pPr>
      <w:r w:rsidRPr="00DF30FE">
        <w:rPr>
          <w:rFonts w:cs="Times New Roman"/>
          <w:color w:val="008FC8"/>
        </w:rPr>
        <w:t>Практическое задание 1</w:t>
      </w: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Тема 1. Общие понятия системы разработки и постановки продукции на производство (СРПП)</w:t>
      </w: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На основании материалов лекций, библиографического списка и дополнительных материалов проведите анализ требований законодательных актов и документов по разработке и постановке продукции на производство.</w:t>
      </w: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Рекомендации по выполнению задания</w:t>
      </w: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</w:rPr>
      </w:pPr>
      <w:r w:rsidRPr="00F574C9">
        <w:rPr>
          <w:rFonts w:cs="Times New Roman"/>
          <w:b/>
          <w:szCs w:val="28"/>
        </w:rPr>
        <w:t xml:space="preserve">1. </w:t>
      </w:r>
      <w:r w:rsidRPr="00F574C9">
        <w:rPr>
          <w:rFonts w:cs="Times New Roman"/>
        </w:rPr>
        <w:t>Изучите требования документов:</w:t>
      </w:r>
    </w:p>
    <w:p w:rsidR="00B952C9" w:rsidRPr="00F574C9" w:rsidRDefault="00B952C9" w:rsidP="00B952C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357" w:hanging="357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ГОСТ Р 15.301–2016. Система разработки и постановки продукции на производство (СРПП). Продукция производственно-технического назначения. Порядок разработки и постановки продукции на производство.</w:t>
      </w:r>
    </w:p>
    <w:p w:rsidR="00B952C9" w:rsidRPr="00F574C9" w:rsidRDefault="00B952C9" w:rsidP="00B952C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357" w:hanging="357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ГОСТ 15.016–2016. Система разработки и постановки продукции на производство. Техническое задание. Требования к содержанию и оформлению.</w:t>
      </w:r>
    </w:p>
    <w:p w:rsidR="00B952C9" w:rsidRPr="00F574C9" w:rsidRDefault="00B952C9" w:rsidP="00B952C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357" w:hanging="357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ГОСТ 2.001–2013. Единая система конструкторской документации. Общие положения.</w:t>
      </w:r>
    </w:p>
    <w:p w:rsidR="00B952C9" w:rsidRPr="00F574C9" w:rsidRDefault="00B952C9" w:rsidP="00B952C9">
      <w:pPr>
        <w:pStyle w:val="a4"/>
        <w:numPr>
          <w:ilvl w:val="0"/>
          <w:numId w:val="1"/>
        </w:numPr>
        <w:tabs>
          <w:tab w:val="left" w:pos="284"/>
        </w:tabs>
        <w:spacing w:line="360" w:lineRule="auto"/>
        <w:ind w:left="357" w:hanging="357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ГОСТ 3.1001–2011. Единая система технологической документации. Общие положения.</w:t>
      </w: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b/>
          <w:szCs w:val="28"/>
        </w:rPr>
        <w:t xml:space="preserve">2. </w:t>
      </w:r>
      <w:r w:rsidRPr="00F574C9">
        <w:rPr>
          <w:rFonts w:cs="Times New Roman"/>
          <w:szCs w:val="28"/>
        </w:rPr>
        <w:t>Выпишите номера и названия разделов документов, содержащих требования к элементам ГОСТов. Результаты оформите в виде табл. 1.</w:t>
      </w: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952C9" w:rsidRPr="00F574C9" w:rsidRDefault="00B952C9" w:rsidP="00B952C9">
      <w:pPr>
        <w:spacing w:line="360" w:lineRule="auto"/>
        <w:jc w:val="right"/>
        <w:rPr>
          <w:rFonts w:eastAsia="Calibri" w:cs="Times New Roman"/>
          <w:bCs/>
          <w:szCs w:val="28"/>
        </w:rPr>
      </w:pPr>
      <w:r w:rsidRPr="00F574C9">
        <w:rPr>
          <w:rFonts w:eastAsia="Calibri" w:cs="Times New Roman"/>
          <w:bCs/>
          <w:szCs w:val="28"/>
        </w:rPr>
        <w:t xml:space="preserve">Таблица 1 </w:t>
      </w:r>
    </w:p>
    <w:p w:rsidR="00B952C9" w:rsidRPr="00F574C9" w:rsidRDefault="00B952C9" w:rsidP="00B952C9">
      <w:pPr>
        <w:spacing w:line="360" w:lineRule="auto"/>
        <w:jc w:val="center"/>
        <w:rPr>
          <w:rFonts w:eastAsia="Calibri" w:cs="Times New Roman"/>
          <w:bCs/>
          <w:szCs w:val="28"/>
        </w:rPr>
      </w:pPr>
      <w:r w:rsidRPr="00F574C9">
        <w:rPr>
          <w:rFonts w:eastAsia="Calibri" w:cs="Times New Roman"/>
          <w:bCs/>
          <w:szCs w:val="28"/>
        </w:rPr>
        <w:t>Требования стандартов к элементам СРПП</w:t>
      </w:r>
    </w:p>
    <w:tbl>
      <w:tblPr>
        <w:tblStyle w:val="a3"/>
        <w:tblW w:w="9539" w:type="dxa"/>
        <w:tblInd w:w="108" w:type="dxa"/>
        <w:tblLook w:val="04A0" w:firstRow="1" w:lastRow="0" w:firstColumn="1" w:lastColumn="0" w:noHBand="0" w:noVBand="1"/>
      </w:tblPr>
      <w:tblGrid>
        <w:gridCol w:w="1384"/>
        <w:gridCol w:w="2268"/>
        <w:gridCol w:w="1985"/>
        <w:gridCol w:w="2052"/>
        <w:gridCol w:w="1850"/>
      </w:tblGrid>
      <w:tr w:rsidR="00B952C9" w:rsidRPr="00F574C9" w:rsidTr="00D35A50">
        <w:trPr>
          <w:trHeight w:val="432"/>
        </w:trPr>
        <w:tc>
          <w:tcPr>
            <w:tcW w:w="1384" w:type="dxa"/>
            <w:vMerge w:val="restart"/>
            <w:vAlign w:val="center"/>
          </w:tcPr>
          <w:p w:rsidR="00B952C9" w:rsidRPr="00F574C9" w:rsidRDefault="00B952C9" w:rsidP="00D35A50">
            <w:pPr>
              <w:spacing w:line="360" w:lineRule="auto"/>
              <w:ind w:right="-125"/>
              <w:jc w:val="center"/>
              <w:rPr>
                <w:rFonts w:cs="Times New Roman"/>
                <w:sz w:val="22"/>
              </w:rPr>
            </w:pPr>
            <w:r w:rsidRPr="00F574C9">
              <w:rPr>
                <w:rFonts w:cs="Times New Roman"/>
                <w:sz w:val="22"/>
              </w:rPr>
              <w:t>Элемент ГОСТ</w:t>
            </w:r>
          </w:p>
        </w:tc>
        <w:tc>
          <w:tcPr>
            <w:tcW w:w="8155" w:type="dxa"/>
            <w:gridSpan w:val="4"/>
            <w:vAlign w:val="center"/>
          </w:tcPr>
          <w:p w:rsidR="00B952C9" w:rsidRPr="00F574C9" w:rsidRDefault="00B952C9" w:rsidP="00D35A50">
            <w:pPr>
              <w:spacing w:line="360" w:lineRule="auto"/>
              <w:ind w:left="-142" w:right="-125"/>
              <w:jc w:val="center"/>
              <w:rPr>
                <w:rFonts w:cs="Times New Roman"/>
                <w:sz w:val="22"/>
              </w:rPr>
            </w:pPr>
            <w:r w:rsidRPr="00F574C9">
              <w:rPr>
                <w:rFonts w:cs="Times New Roman"/>
                <w:sz w:val="22"/>
              </w:rPr>
              <w:t>№ и названия разделов, содержащих требования к элементам ГОСТов</w:t>
            </w:r>
          </w:p>
        </w:tc>
      </w:tr>
      <w:tr w:rsidR="00B952C9" w:rsidRPr="00F574C9" w:rsidTr="00D35A50">
        <w:trPr>
          <w:trHeight w:val="410"/>
        </w:trPr>
        <w:tc>
          <w:tcPr>
            <w:tcW w:w="1384" w:type="dxa"/>
            <w:vMerge/>
            <w:vAlign w:val="center"/>
          </w:tcPr>
          <w:p w:rsidR="00B952C9" w:rsidRPr="00F574C9" w:rsidRDefault="00B952C9" w:rsidP="00D35A50">
            <w:pPr>
              <w:spacing w:line="360" w:lineRule="auto"/>
              <w:ind w:right="-125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B952C9" w:rsidRPr="00F574C9" w:rsidRDefault="00B952C9" w:rsidP="00D35A50">
            <w:pPr>
              <w:spacing w:line="360" w:lineRule="auto"/>
              <w:ind w:left="-142" w:right="-125"/>
              <w:jc w:val="center"/>
              <w:rPr>
                <w:rFonts w:cs="Times New Roman"/>
                <w:sz w:val="22"/>
              </w:rPr>
            </w:pPr>
            <w:r w:rsidRPr="00F574C9">
              <w:rPr>
                <w:rFonts w:cs="Times New Roman"/>
                <w:sz w:val="22"/>
              </w:rPr>
              <w:t>ГОСТ Р 15.301–2016</w:t>
            </w:r>
          </w:p>
        </w:tc>
        <w:tc>
          <w:tcPr>
            <w:tcW w:w="1985" w:type="dxa"/>
            <w:vAlign w:val="center"/>
          </w:tcPr>
          <w:p w:rsidR="00B952C9" w:rsidRPr="00F574C9" w:rsidRDefault="00B952C9" w:rsidP="00D35A50">
            <w:pPr>
              <w:spacing w:line="360" w:lineRule="auto"/>
              <w:ind w:left="-142" w:right="-125"/>
              <w:jc w:val="center"/>
              <w:rPr>
                <w:rFonts w:cs="Times New Roman"/>
                <w:sz w:val="22"/>
              </w:rPr>
            </w:pPr>
            <w:r w:rsidRPr="00F574C9">
              <w:rPr>
                <w:rFonts w:cs="Times New Roman"/>
                <w:sz w:val="22"/>
              </w:rPr>
              <w:t>ГОСТ 15.016–2016</w:t>
            </w:r>
          </w:p>
        </w:tc>
        <w:tc>
          <w:tcPr>
            <w:tcW w:w="2052" w:type="dxa"/>
            <w:vAlign w:val="center"/>
          </w:tcPr>
          <w:p w:rsidR="00B952C9" w:rsidRPr="00F574C9" w:rsidRDefault="00B952C9" w:rsidP="00D35A50">
            <w:pPr>
              <w:spacing w:line="360" w:lineRule="auto"/>
              <w:ind w:left="-142" w:right="-125"/>
              <w:jc w:val="center"/>
              <w:rPr>
                <w:rFonts w:cs="Times New Roman"/>
                <w:sz w:val="22"/>
              </w:rPr>
            </w:pPr>
            <w:r w:rsidRPr="00F574C9">
              <w:rPr>
                <w:rFonts w:cs="Times New Roman"/>
                <w:sz w:val="22"/>
              </w:rPr>
              <w:t>ГОСТ 2.001–2013</w:t>
            </w:r>
          </w:p>
        </w:tc>
        <w:tc>
          <w:tcPr>
            <w:tcW w:w="1850" w:type="dxa"/>
            <w:vAlign w:val="center"/>
          </w:tcPr>
          <w:p w:rsidR="00B952C9" w:rsidRPr="00F574C9" w:rsidRDefault="00B952C9" w:rsidP="00D35A50">
            <w:pPr>
              <w:spacing w:line="360" w:lineRule="auto"/>
              <w:ind w:left="-142" w:right="-125"/>
              <w:jc w:val="center"/>
              <w:rPr>
                <w:rFonts w:cs="Times New Roman"/>
                <w:sz w:val="22"/>
              </w:rPr>
            </w:pPr>
            <w:r w:rsidRPr="00F574C9">
              <w:rPr>
                <w:rFonts w:cs="Times New Roman"/>
                <w:sz w:val="22"/>
              </w:rPr>
              <w:t>ГОСТ 3.1001–2011</w:t>
            </w:r>
          </w:p>
        </w:tc>
      </w:tr>
      <w:tr w:rsidR="00B952C9" w:rsidRPr="00F574C9" w:rsidTr="00D35A50">
        <w:tc>
          <w:tcPr>
            <w:tcW w:w="1384" w:type="dxa"/>
            <w:vAlign w:val="center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Цель стандарта</w:t>
            </w:r>
          </w:p>
        </w:tc>
        <w:tc>
          <w:tcPr>
            <w:tcW w:w="2268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</w:tr>
      <w:tr w:rsidR="00B952C9" w:rsidRPr="00F574C9" w:rsidTr="00D35A50">
        <w:tc>
          <w:tcPr>
            <w:tcW w:w="1384" w:type="dxa"/>
            <w:vAlign w:val="center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Термины ГОСТ</w:t>
            </w:r>
          </w:p>
        </w:tc>
        <w:tc>
          <w:tcPr>
            <w:tcW w:w="2268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</w:tr>
      <w:tr w:rsidR="00B952C9" w:rsidRPr="00F574C9" w:rsidTr="00D35A50">
        <w:tc>
          <w:tcPr>
            <w:tcW w:w="1384" w:type="dxa"/>
            <w:vAlign w:val="center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lastRenderedPageBreak/>
              <w:t>Основные положения</w:t>
            </w:r>
          </w:p>
        </w:tc>
        <w:tc>
          <w:tcPr>
            <w:tcW w:w="2268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</w:tr>
      <w:tr w:rsidR="00B952C9" w:rsidRPr="00F574C9" w:rsidTr="00D35A50">
        <w:tc>
          <w:tcPr>
            <w:tcW w:w="1384" w:type="dxa"/>
            <w:vAlign w:val="center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Ключевые слова</w:t>
            </w:r>
            <w:r w:rsidRPr="00F574C9">
              <w:rPr>
                <w:rStyle w:val="a7"/>
                <w:rFonts w:cs="Times New Roman"/>
                <w:sz w:val="24"/>
                <w:szCs w:val="24"/>
              </w:rPr>
              <w:footnoteReference w:id="1"/>
            </w:r>
          </w:p>
        </w:tc>
        <w:tc>
          <w:tcPr>
            <w:tcW w:w="2268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B952C9" w:rsidRPr="00F574C9" w:rsidRDefault="00B952C9" w:rsidP="00D35A50">
            <w:pPr>
              <w:spacing w:line="360" w:lineRule="auto"/>
              <w:ind w:right="-125"/>
              <w:rPr>
                <w:rFonts w:cs="Times New Roman"/>
                <w:sz w:val="24"/>
                <w:szCs w:val="24"/>
              </w:rPr>
            </w:pPr>
          </w:p>
        </w:tc>
      </w:tr>
    </w:tbl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b/>
          <w:szCs w:val="28"/>
        </w:rPr>
      </w:pP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b/>
          <w:szCs w:val="28"/>
        </w:rPr>
        <w:t xml:space="preserve">3. </w:t>
      </w:r>
      <w:r w:rsidRPr="00F574C9">
        <w:rPr>
          <w:rFonts w:cs="Times New Roman"/>
          <w:szCs w:val="28"/>
        </w:rPr>
        <w:t>Проведите сравнительный анализ требований выделенных разделов, выявите сходства и различия в формулировках требований. Результат оформите в виде аналитической справки.</w:t>
      </w: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B952C9" w:rsidRPr="00F574C9" w:rsidRDefault="00B952C9" w:rsidP="00B952C9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Необходимо поэтапно выполнить все задания и подробно описать в пункте 3 полученные результаты.</w:t>
      </w:r>
    </w:p>
    <w:p w:rsidR="004B7DB7" w:rsidRPr="00B952C9" w:rsidRDefault="00B952C9" w:rsidP="00B952C9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Ответ на задание представьте в свободной форме в документе формата *.</w:t>
      </w:r>
      <w:proofErr w:type="spellStart"/>
      <w:r w:rsidRPr="00F574C9">
        <w:rPr>
          <w:rFonts w:cs="Times New Roman"/>
          <w:szCs w:val="28"/>
        </w:rPr>
        <w:t>docx</w:t>
      </w:r>
      <w:proofErr w:type="spellEnd"/>
      <w:r w:rsidRPr="00F574C9">
        <w:rPr>
          <w:rFonts w:cs="Times New Roman"/>
          <w:szCs w:val="28"/>
        </w:rPr>
        <w:t xml:space="preserve">. </w:t>
      </w:r>
      <w:bookmarkStart w:id="0" w:name="_GoBack"/>
      <w:bookmarkEnd w:id="0"/>
    </w:p>
    <w:sectPr w:rsidR="004B7DB7" w:rsidRPr="00B9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DFD" w:rsidRDefault="003B4DFD" w:rsidP="00B952C9">
      <w:r>
        <w:separator/>
      </w:r>
    </w:p>
  </w:endnote>
  <w:endnote w:type="continuationSeparator" w:id="0">
    <w:p w:rsidR="003B4DFD" w:rsidRDefault="003B4DFD" w:rsidP="00B9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DFD" w:rsidRDefault="003B4DFD" w:rsidP="00B952C9">
      <w:r>
        <w:separator/>
      </w:r>
    </w:p>
  </w:footnote>
  <w:footnote w:type="continuationSeparator" w:id="0">
    <w:p w:rsidR="003B4DFD" w:rsidRDefault="003B4DFD" w:rsidP="00B952C9">
      <w:r>
        <w:continuationSeparator/>
      </w:r>
    </w:p>
  </w:footnote>
  <w:footnote w:id="1">
    <w:p w:rsidR="00B952C9" w:rsidRPr="001C1377" w:rsidRDefault="00B952C9" w:rsidP="00B952C9">
      <w:pPr>
        <w:pStyle w:val="a5"/>
        <w:rPr>
          <w:rFonts w:cs="Times New Roman"/>
          <w:sz w:val="24"/>
          <w:szCs w:val="24"/>
        </w:rPr>
      </w:pPr>
      <w:r w:rsidRPr="001C1377">
        <w:rPr>
          <w:rStyle w:val="a7"/>
          <w:rFonts w:cs="Times New Roman"/>
          <w:sz w:val="24"/>
          <w:szCs w:val="24"/>
        </w:rPr>
        <w:footnoteRef/>
      </w:r>
      <w:r w:rsidRPr="001C1377">
        <w:rPr>
          <w:rFonts w:cs="Times New Roman"/>
          <w:sz w:val="24"/>
          <w:szCs w:val="24"/>
        </w:rPr>
        <w:t xml:space="preserve"> Перечислите все ключевые слова в ячейках, соответствующих ГОСТам</w:t>
      </w:r>
      <w:r>
        <w:rPr>
          <w:rFonts w:cs="Times New Roman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21"/>
    <w:multiLevelType w:val="hybridMultilevel"/>
    <w:tmpl w:val="680E550C"/>
    <w:lvl w:ilvl="0" w:tplc="E59065F6">
      <w:start w:val="1"/>
      <w:numFmt w:val="bullet"/>
      <w:lvlText w:val="­"/>
      <w:lvlJc w:val="left"/>
      <w:pPr>
        <w:ind w:left="1789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696"/>
    <w:rsid w:val="003B4DFD"/>
    <w:rsid w:val="004B7DB7"/>
    <w:rsid w:val="00A33696"/>
    <w:rsid w:val="00B9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F6B80"/>
  <w15:chartTrackingRefBased/>
  <w15:docId w15:val="{493C0AF3-F50F-4B32-90BD-B96C9977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2C9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952C9"/>
    <w:pPr>
      <w:keepNext/>
      <w:keepLines/>
      <w:spacing w:before="200"/>
      <w:outlineLvl w:val="2"/>
    </w:pPr>
    <w:rPr>
      <w:rFonts w:eastAsiaTheme="majorEastAsia" w:cstheme="majorBidi"/>
      <w:b/>
      <w:b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52C9"/>
    <w:rPr>
      <w:rFonts w:ascii="Times New Roman" w:eastAsiaTheme="majorEastAsia" w:hAnsi="Times New Roman" w:cstheme="majorBidi"/>
      <w:b/>
      <w:bCs/>
      <w:color w:val="44546A" w:themeColor="text2"/>
      <w:sz w:val="28"/>
      <w:lang w:eastAsia="ru-RU"/>
    </w:rPr>
  </w:style>
  <w:style w:type="table" w:styleId="a3">
    <w:name w:val="Table Grid"/>
    <w:basedOn w:val="a1"/>
    <w:rsid w:val="00B952C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952C9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B952C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952C9"/>
    <w:rPr>
      <w:rFonts w:ascii="Times New Roman" w:eastAsiaTheme="minorEastAsia" w:hAnsi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B952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2022-08-30T06:25:00Z</dcterms:created>
  <dcterms:modified xsi:type="dcterms:W3CDTF">2022-08-30T06:25:00Z</dcterms:modified>
</cp:coreProperties>
</file>