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79754" w14:textId="77777777" w:rsidR="00FF7C88" w:rsidRPr="00FF7C88" w:rsidRDefault="00FF7C88" w:rsidP="000D4996">
      <w:pPr>
        <w:keepNext/>
        <w:keepLines/>
        <w:spacing w:after="0" w:line="360" w:lineRule="auto"/>
        <w:contextualSpacing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F7C8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Практическое задание 1</w:t>
      </w:r>
    </w:p>
    <w:p w14:paraId="68C543A3" w14:textId="77777777" w:rsidR="00FF7C88" w:rsidRPr="001F65E8" w:rsidRDefault="002C3D81" w:rsidP="000D4996">
      <w:pPr>
        <w:keepNext/>
        <w:keepLines/>
        <w:spacing w:after="0" w:line="360" w:lineRule="auto"/>
        <w:contextualSpacing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Тема 3</w:t>
      </w:r>
      <w:r w:rsidR="00FF7C88" w:rsidRPr="000D4996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 xml:space="preserve">. </w:t>
      </w:r>
      <w:r w:rsidRPr="002C3D81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Методика экспресс-анализа данных бухгалтерской финансовой отчетности</w:t>
      </w:r>
    </w:p>
    <w:p w14:paraId="72C0A10C" w14:textId="77777777" w:rsidR="000D4996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EF4B95" w14:textId="77777777" w:rsidR="009D4EBE" w:rsidRDefault="00FF7C88" w:rsidP="000D499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C88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113387A5" w14:textId="5C4DA012" w:rsidR="000D4996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Рассчитать коэффициент риска вероятности банкротства за отчетный и предыдущий период. Найти отклонение по каждому представленному показателю. Провести факторный анализ коэффициента риска банкротства </w:t>
      </w:r>
      <w:r w:rsidR="009D4EBE">
        <w:rPr>
          <w:rFonts w:ascii="Times New Roman" w:hAnsi="Times New Roman" w:cs="Times New Roman"/>
          <w:sz w:val="28"/>
          <w:szCs w:val="28"/>
        </w:rPr>
        <w:t xml:space="preserve">с использованием метода </w:t>
      </w:r>
      <w:r>
        <w:rPr>
          <w:rFonts w:ascii="Times New Roman" w:hAnsi="Times New Roman" w:cs="Times New Roman"/>
          <w:sz w:val="28"/>
          <w:szCs w:val="28"/>
        </w:rPr>
        <w:t>цепных подстановок. Сформулировать выводы.</w:t>
      </w:r>
    </w:p>
    <w:p w14:paraId="00E789BB" w14:textId="77777777" w:rsidR="000D4996" w:rsidRDefault="000D4996" w:rsidP="000D499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9B74AB" w14:textId="77777777" w:rsidR="000D4996" w:rsidRDefault="000D4996" w:rsidP="000D499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Анализ риска вероятности банкротства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985"/>
        <w:gridCol w:w="2120"/>
      </w:tblGrid>
      <w:tr w:rsidR="000D4996" w14:paraId="53223DEB" w14:textId="77777777" w:rsidTr="001F65E8">
        <w:tc>
          <w:tcPr>
            <w:tcW w:w="3256" w:type="dxa"/>
          </w:tcPr>
          <w:p w14:paraId="6ED397FE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</w:tcPr>
          <w:p w14:paraId="467ACD81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1985" w:type="dxa"/>
          </w:tcPr>
          <w:p w14:paraId="702AACCB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Предыдущий период</w:t>
            </w:r>
          </w:p>
        </w:tc>
        <w:tc>
          <w:tcPr>
            <w:tcW w:w="2120" w:type="dxa"/>
          </w:tcPr>
          <w:p w14:paraId="3033ED45" w14:textId="2902C063" w:rsidR="000D4996" w:rsidRPr="000D4996" w:rsidRDefault="000D4996" w:rsidP="009D4EB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Абсолютное </w:t>
            </w:r>
            <w:r w:rsidR="009D4EBE">
              <w:rPr>
                <w:rFonts w:ascii="Times New Roman" w:hAnsi="Times New Roman"/>
                <w:sz w:val="24"/>
                <w:szCs w:val="24"/>
              </w:rPr>
              <w:t xml:space="preserve">отклонение </w:t>
            </w:r>
            <w:r>
              <w:rPr>
                <w:rFonts w:ascii="Times New Roman" w:hAnsi="Times New Roman"/>
                <w:sz w:val="24"/>
                <w:szCs w:val="24"/>
              </w:rPr>
              <w:t>(+, –)</w:t>
            </w:r>
          </w:p>
        </w:tc>
      </w:tr>
      <w:tr w:rsidR="000D4996" w14:paraId="6626EFD4" w14:textId="77777777" w:rsidTr="001F65E8">
        <w:tc>
          <w:tcPr>
            <w:tcW w:w="3256" w:type="dxa"/>
          </w:tcPr>
          <w:p w14:paraId="63AE2FA5" w14:textId="77777777" w:rsidR="000D4996" w:rsidRPr="00FF7C88" w:rsidRDefault="000D4996" w:rsidP="001F6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88">
              <w:rPr>
                <w:rFonts w:ascii="Times New Roman" w:hAnsi="Times New Roman" w:cs="Times New Roman"/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1984" w:type="dxa"/>
          </w:tcPr>
          <w:p w14:paraId="2C66AD87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2,86</w:t>
            </w:r>
          </w:p>
        </w:tc>
        <w:tc>
          <w:tcPr>
            <w:tcW w:w="1985" w:type="dxa"/>
          </w:tcPr>
          <w:p w14:paraId="7A1BCCAF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1,93</w:t>
            </w:r>
          </w:p>
        </w:tc>
        <w:tc>
          <w:tcPr>
            <w:tcW w:w="2120" w:type="dxa"/>
          </w:tcPr>
          <w:p w14:paraId="17886211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996" w14:paraId="722FDECE" w14:textId="77777777" w:rsidTr="001F65E8">
        <w:tc>
          <w:tcPr>
            <w:tcW w:w="3256" w:type="dxa"/>
          </w:tcPr>
          <w:p w14:paraId="7ECB870E" w14:textId="77777777" w:rsidR="000D4996" w:rsidRPr="00FF7C88" w:rsidRDefault="000D4996" w:rsidP="001F6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88">
              <w:rPr>
                <w:rFonts w:ascii="Times New Roman" w:hAnsi="Times New Roman" w:cs="Times New Roman"/>
                <w:sz w:val="24"/>
                <w:szCs w:val="24"/>
              </w:rPr>
              <w:t>Соотношение заемных и собственных средств</w:t>
            </w:r>
          </w:p>
        </w:tc>
        <w:tc>
          <w:tcPr>
            <w:tcW w:w="1984" w:type="dxa"/>
          </w:tcPr>
          <w:p w14:paraId="61092BA1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0,86</w:t>
            </w:r>
          </w:p>
        </w:tc>
        <w:tc>
          <w:tcPr>
            <w:tcW w:w="1985" w:type="dxa"/>
          </w:tcPr>
          <w:p w14:paraId="37DBAFF5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  <w:tc>
          <w:tcPr>
            <w:tcW w:w="2120" w:type="dxa"/>
          </w:tcPr>
          <w:p w14:paraId="01FA1623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996" w14:paraId="09D346DA" w14:textId="77777777" w:rsidTr="001F65E8">
        <w:tc>
          <w:tcPr>
            <w:tcW w:w="3256" w:type="dxa"/>
          </w:tcPr>
          <w:p w14:paraId="3183777B" w14:textId="77777777" w:rsidR="000D4996" w:rsidRPr="00FF7C88" w:rsidRDefault="000D4996" w:rsidP="001F6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88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риска банкротства </w:t>
            </w:r>
          </w:p>
          <w:p w14:paraId="1B8B70CB" w14:textId="77777777" w:rsidR="000D4996" w:rsidRPr="00FF7C88" w:rsidRDefault="000D4996" w:rsidP="001F6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(строка 1</w:t>
            </w:r>
            <w:r w:rsidR="009D4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D4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  <w:r w:rsidRPr="00FF7C88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984" w:type="dxa"/>
          </w:tcPr>
          <w:p w14:paraId="4F72DDAF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AF566C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55932A86" w14:textId="77777777" w:rsidR="000D4996" w:rsidRPr="000D4996" w:rsidRDefault="000D4996" w:rsidP="001F65E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51C974" w14:textId="77777777" w:rsidR="000D4996" w:rsidRPr="000D4996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1AA19B8" w14:textId="4A7107A2" w:rsidR="009D4EBE" w:rsidRDefault="009D4EBE" w:rsidP="000D49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b/>
          <w:sz w:val="28"/>
          <w:szCs w:val="28"/>
        </w:rPr>
        <w:t>Рекомендаци</w:t>
      </w:r>
      <w:r>
        <w:rPr>
          <w:rFonts w:ascii="Times New Roman" w:hAnsi="Times New Roman"/>
          <w:b/>
          <w:sz w:val="28"/>
          <w:szCs w:val="28"/>
        </w:rPr>
        <w:t>и</w:t>
      </w:r>
      <w:r w:rsidRPr="00D01EE9">
        <w:rPr>
          <w:rFonts w:ascii="Times New Roman" w:hAnsi="Times New Roman"/>
          <w:b/>
          <w:sz w:val="28"/>
          <w:szCs w:val="28"/>
        </w:rPr>
        <w:t xml:space="preserve"> </w:t>
      </w:r>
      <w:r w:rsidR="000D4996" w:rsidRPr="00D01EE9">
        <w:rPr>
          <w:rFonts w:ascii="Times New Roman" w:hAnsi="Times New Roman"/>
          <w:b/>
          <w:sz w:val="28"/>
          <w:szCs w:val="28"/>
        </w:rPr>
        <w:t>по выполнению задания</w:t>
      </w:r>
    </w:p>
    <w:p w14:paraId="15A972A0" w14:textId="122E1709" w:rsidR="000D4996" w:rsidRDefault="009D4EBE" w:rsidP="000D49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sz w:val="28"/>
          <w:szCs w:val="28"/>
        </w:rPr>
        <w:t xml:space="preserve">Результат </w:t>
      </w:r>
      <w:r w:rsidR="000D4996" w:rsidRPr="00D01EE9">
        <w:rPr>
          <w:rFonts w:ascii="Times New Roman" w:hAnsi="Times New Roman"/>
          <w:sz w:val="28"/>
          <w:szCs w:val="28"/>
        </w:rPr>
        <w:t xml:space="preserve">выполнения письменного </w:t>
      </w:r>
      <w:r w:rsidR="000D4996">
        <w:rPr>
          <w:rFonts w:ascii="Times New Roman" w:hAnsi="Times New Roman"/>
          <w:sz w:val="28"/>
          <w:szCs w:val="28"/>
        </w:rPr>
        <w:t xml:space="preserve">задания </w:t>
      </w:r>
      <w:r w:rsidRPr="00D01EE9">
        <w:rPr>
          <w:rFonts w:ascii="Times New Roman" w:hAnsi="Times New Roman"/>
          <w:sz w:val="28"/>
          <w:szCs w:val="28"/>
        </w:rPr>
        <w:t xml:space="preserve">удобнее </w:t>
      </w:r>
      <w:r w:rsidR="000D4996">
        <w:rPr>
          <w:rFonts w:ascii="Times New Roman" w:hAnsi="Times New Roman"/>
          <w:sz w:val="28"/>
          <w:szCs w:val="28"/>
        </w:rPr>
        <w:t xml:space="preserve">свести </w:t>
      </w:r>
      <w:r>
        <w:rPr>
          <w:rFonts w:ascii="Times New Roman" w:hAnsi="Times New Roman"/>
          <w:sz w:val="28"/>
          <w:szCs w:val="28"/>
        </w:rPr>
        <w:t>в таблицу </w:t>
      </w:r>
      <w:r w:rsidR="000D4996">
        <w:rPr>
          <w:rFonts w:ascii="Times New Roman" w:hAnsi="Times New Roman"/>
          <w:sz w:val="28"/>
          <w:szCs w:val="28"/>
        </w:rPr>
        <w:t>1, которая размещена</w:t>
      </w:r>
      <w:r w:rsidR="000D4996" w:rsidRPr="00D01EE9">
        <w:rPr>
          <w:rFonts w:ascii="Times New Roman" w:hAnsi="Times New Roman"/>
          <w:sz w:val="28"/>
          <w:szCs w:val="28"/>
        </w:rPr>
        <w:t xml:space="preserve"> в бланке выполнения задания.</w:t>
      </w:r>
    </w:p>
    <w:p w14:paraId="209F223E" w14:textId="0D367AB5" w:rsidR="000D4996" w:rsidRPr="00FF7C88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Коэффициент риска банкротства определяется отношением коэффициента ликвидности к соотношению заемных и собственных средств. Для </w:t>
      </w:r>
      <w:r w:rsidR="009D4E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формулирования </w:t>
      </w: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выводов </w:t>
      </w:r>
      <w:r w:rsidR="009D4EBE"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необходимо иметь</w:t>
      </w:r>
      <w:r w:rsidR="009D4EBE"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>в виду следующее: если значение коэффициента риска банкротства менее 1,0, то риск банкротства увеличивается.</w:t>
      </w:r>
    </w:p>
    <w:p w14:paraId="13F16E42" w14:textId="77777777" w:rsidR="000D4996" w:rsidRPr="00FF7C88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>Методика расчета влияния факторов на результативный показатель способом цепных подстановок для двухфакторной модели представлена ниже:</w:t>
      </w:r>
    </w:p>
    <w:p w14:paraId="301F8343" w14:textId="7E0E1B56" w:rsidR="000D4996" w:rsidRPr="00FF7C88" w:rsidRDefault="000D4996" w:rsidP="000D4996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Y</m:t>
          </m:r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,</m:t>
          </m:r>
        </m:oMath>
      </m:oMathPara>
    </w:p>
    <w:p w14:paraId="43FB7E67" w14:textId="7E3BAB2C" w:rsidR="009D4EBE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где </w:t>
      </w:r>
      <w:r w:rsidRPr="00FF7C88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Y</w:t>
      </w: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результативный показатель</w:t>
      </w:r>
      <w:r w:rsidR="009D4EB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222CFFD3" w14:textId="77777777" w:rsidR="000D4996" w:rsidRPr="00FF7C88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7C88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lastRenderedPageBreak/>
        <w:t>x</w:t>
      </w:r>
      <w:r w:rsidRPr="00FF7C88">
        <w:rPr>
          <w:rFonts w:ascii="Times New Roman" w:eastAsia="Calibri" w:hAnsi="Times New Roman" w:cs="Times New Roman"/>
          <w:sz w:val="28"/>
          <w:szCs w:val="28"/>
          <w:vertAlign w:val="subscript"/>
          <w:lang w:eastAsia="ru-RU"/>
        </w:rPr>
        <w:t xml:space="preserve">1, </w:t>
      </w:r>
      <w:r w:rsidRPr="00FF7C88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x</w:t>
      </w:r>
      <w:r w:rsidRPr="00FF7C88">
        <w:rPr>
          <w:rFonts w:ascii="Times New Roman" w:eastAsia="Calibri" w:hAnsi="Times New Roman" w:cs="Times New Roman"/>
          <w:sz w:val="28"/>
          <w:szCs w:val="28"/>
          <w:vertAlign w:val="subscript"/>
          <w:lang w:eastAsia="ru-RU"/>
        </w:rPr>
        <w:t>2</w:t>
      </w: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первый и второй факторы.</w:t>
      </w:r>
    </w:p>
    <w:p w14:paraId="335F034A" w14:textId="77777777" w:rsidR="000D4996" w:rsidRPr="00FF7C88" w:rsidRDefault="00A4626E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vertAlign w:val="subscript"/>
          <w:lang w:eastAsia="ru-RU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10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20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;</m:t>
          </m:r>
        </m:oMath>
      </m:oMathPara>
    </w:p>
    <w:p w14:paraId="5F0E0C37" w14:textId="77777777" w:rsidR="000D4996" w:rsidRPr="00FF7C88" w:rsidRDefault="00A4626E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усл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11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20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;</m:t>
          </m:r>
        </m:oMath>
      </m:oMathPara>
    </w:p>
    <w:p w14:paraId="38F78E1F" w14:textId="77777777" w:rsidR="000D4996" w:rsidRPr="00FF7C88" w:rsidRDefault="00A4626E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11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21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;</m:t>
          </m:r>
        </m:oMath>
      </m:oMathPara>
    </w:p>
    <w:p w14:paraId="0C140392" w14:textId="77777777" w:rsidR="000D4996" w:rsidRPr="00644431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∆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x1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усл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-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;</m:t>
          </m:r>
        </m:oMath>
      </m:oMathPara>
    </w:p>
    <w:p w14:paraId="76D9B660" w14:textId="5222BDC8" w:rsidR="000D4996" w:rsidRPr="002C3D81" w:rsidRDefault="000D4996" w:rsidP="00644431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∆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x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3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усл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.</m:t>
          </m:r>
        </m:oMath>
      </m:oMathPara>
    </w:p>
    <w:p w14:paraId="193685E0" w14:textId="77777777" w:rsidR="000D4996" w:rsidRPr="00FF7C88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>Алгебраическая сумма влияния факторов должна быть тождественна общему увеличению результативного показателя.</w:t>
      </w:r>
    </w:p>
    <w:p w14:paraId="5BBAA5BC" w14:textId="77777777" w:rsidR="000D4996" w:rsidRPr="008C2D09" w:rsidRDefault="000D4996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∆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xобщ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∆Y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x</m:t>
              </m:r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∆Y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x2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.</m:t>
          </m:r>
        </m:oMath>
      </m:oMathPara>
    </w:p>
    <w:p w14:paraId="22750274" w14:textId="6B366EC3" w:rsidR="000D4996" w:rsidRPr="000D4996" w:rsidRDefault="008C2D09" w:rsidP="000D4996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основе</w:t>
      </w: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результат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D4996" w:rsidRPr="00FF7C88">
        <w:rPr>
          <w:rFonts w:ascii="Times New Roman" w:eastAsia="Calibri" w:hAnsi="Times New Roman" w:cs="Times New Roman"/>
          <w:sz w:val="28"/>
          <w:szCs w:val="28"/>
          <w:lang w:eastAsia="ru-RU"/>
        </w:rPr>
        <w:t>факторного анализа необходимо сформулировать выводы.</w:t>
      </w:r>
      <w:bookmarkStart w:id="0" w:name="_GoBack"/>
      <w:bookmarkEnd w:id="0"/>
    </w:p>
    <w:sectPr w:rsidR="000D4996" w:rsidRPr="000D4996" w:rsidSect="006F3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F0E10"/>
    <w:multiLevelType w:val="hybridMultilevel"/>
    <w:tmpl w:val="8F949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52189"/>
    <w:multiLevelType w:val="hybridMultilevel"/>
    <w:tmpl w:val="1696C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89"/>
    <w:rsid w:val="00010C60"/>
    <w:rsid w:val="00031B5E"/>
    <w:rsid w:val="000D4996"/>
    <w:rsid w:val="00132DF6"/>
    <w:rsid w:val="001952CD"/>
    <w:rsid w:val="001A5F89"/>
    <w:rsid w:val="001F65E8"/>
    <w:rsid w:val="002C3D81"/>
    <w:rsid w:val="0047273B"/>
    <w:rsid w:val="00644431"/>
    <w:rsid w:val="00667F98"/>
    <w:rsid w:val="006910D2"/>
    <w:rsid w:val="006F3A28"/>
    <w:rsid w:val="007165FD"/>
    <w:rsid w:val="00854A9F"/>
    <w:rsid w:val="00885618"/>
    <w:rsid w:val="008C0557"/>
    <w:rsid w:val="008C2D09"/>
    <w:rsid w:val="008C54C3"/>
    <w:rsid w:val="009D4EBE"/>
    <w:rsid w:val="00A4626E"/>
    <w:rsid w:val="00AE6345"/>
    <w:rsid w:val="00B811A6"/>
    <w:rsid w:val="00C22FDE"/>
    <w:rsid w:val="00CF7BAB"/>
    <w:rsid w:val="00D139B9"/>
    <w:rsid w:val="00DB05DA"/>
    <w:rsid w:val="00DF4EDF"/>
    <w:rsid w:val="00E03843"/>
    <w:rsid w:val="00FF7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16BA"/>
  <w15:docId w15:val="{EDB3142B-4906-454F-89AF-E957C656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557"/>
  </w:style>
  <w:style w:type="paragraph" w:styleId="1">
    <w:name w:val="heading 1"/>
    <w:basedOn w:val="a"/>
    <w:next w:val="a"/>
    <w:link w:val="10"/>
    <w:uiPriority w:val="9"/>
    <w:qFormat/>
    <w:rsid w:val="00FF7C8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7C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7C88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2C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3D81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AE63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E63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E634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E634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E63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2021-10-11T06:14:00Z</dcterms:created>
  <dcterms:modified xsi:type="dcterms:W3CDTF">2021-10-11T06:18:00Z</dcterms:modified>
</cp:coreProperties>
</file>