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F1D" w:rsidRPr="004B411C" w:rsidRDefault="00CA4F1D" w:rsidP="00CA4F1D">
      <w:pPr>
        <w:pStyle w:val="1"/>
        <w:spacing w:before="0"/>
        <w:rPr>
          <w:rFonts w:ascii="Times New Roman" w:hAnsi="Times New Roman"/>
        </w:rPr>
      </w:pPr>
      <w:r w:rsidRPr="004B411C">
        <w:rPr>
          <w:rFonts w:ascii="Times New Roman" w:hAnsi="Times New Roman"/>
        </w:rPr>
        <w:t xml:space="preserve">Проверяемое </w:t>
      </w:r>
      <w:r>
        <w:rPr>
          <w:rFonts w:ascii="Times New Roman" w:hAnsi="Times New Roman"/>
        </w:rPr>
        <w:t>задание 4 «</w:t>
      </w:r>
      <w:r w:rsidRPr="009F578D">
        <w:rPr>
          <w:rFonts w:ascii="Times New Roman" w:hAnsi="Times New Roman"/>
        </w:rPr>
        <w:t>Расчет среднего значения напряжения управляемого выпрямителя</w:t>
      </w:r>
      <w:r>
        <w:rPr>
          <w:rFonts w:ascii="Times New Roman" w:hAnsi="Times New Roman"/>
        </w:rPr>
        <w:t>»</w:t>
      </w:r>
    </w:p>
    <w:p w:rsidR="00CA4F1D" w:rsidRDefault="00CA4F1D" w:rsidP="00CA4F1D">
      <w:pPr>
        <w:rPr>
          <w:b/>
        </w:rPr>
      </w:pPr>
      <w:r>
        <w:t>Лекция 3. Выпрямительные устройства</w:t>
      </w:r>
    </w:p>
    <w:p w:rsidR="00CA4F1D" w:rsidRPr="00713D11" w:rsidRDefault="00CA4F1D" w:rsidP="00CA4F1D">
      <w:pPr>
        <w:rPr>
          <w:b/>
          <w:szCs w:val="28"/>
        </w:rPr>
      </w:pPr>
      <w:r>
        <w:rPr>
          <w:b/>
          <w:szCs w:val="28"/>
        </w:rPr>
        <w:t>Задание</w:t>
      </w:r>
    </w:p>
    <w:p w:rsidR="00CA4F1D" w:rsidRDefault="00CA4F1D" w:rsidP="00CA4F1D">
      <w:pPr>
        <w:autoSpaceDE w:val="0"/>
        <w:autoSpaceDN w:val="0"/>
        <w:adjustRightInd w:val="0"/>
        <w:ind w:firstLine="708"/>
      </w:pPr>
      <w:r>
        <w:t xml:space="preserve">Необходимо понять назначение основных элементов схемы и </w:t>
      </w:r>
      <w:r w:rsidRPr="00622A24">
        <w:t>принцип</w:t>
      </w:r>
      <w:r>
        <w:t>ы</w:t>
      </w:r>
      <w:r w:rsidRPr="00622A24">
        <w:t xml:space="preserve"> функционирования</w:t>
      </w:r>
      <w:r>
        <w:t xml:space="preserve"> силовых управляемых выпрямителей с импульсно-фазовым управлением. Рассчитайте среднее значение выпрямленного напряжения и определите основные преимущества и недостатки данных видов управляемых выпрямителей.</w:t>
      </w:r>
    </w:p>
    <w:p w:rsidR="00CA4F1D" w:rsidRPr="008E07F6" w:rsidRDefault="00CA4F1D" w:rsidP="00CA4F1D">
      <w:pPr>
        <w:autoSpaceDE w:val="0"/>
        <w:autoSpaceDN w:val="0"/>
        <w:adjustRightInd w:val="0"/>
        <w:rPr>
          <w:rFonts w:eastAsia="TimesNewRoman"/>
          <w:szCs w:val="28"/>
        </w:rPr>
      </w:pPr>
      <w:r w:rsidRPr="008E07F6">
        <w:rPr>
          <w:rFonts w:eastAsia="TimesNewRoman"/>
          <w:b/>
          <w:szCs w:val="28"/>
        </w:rPr>
        <w:t>Номер варианта работы</w:t>
      </w:r>
      <w:r w:rsidRPr="008E07F6">
        <w:rPr>
          <w:rFonts w:eastAsia="TimesNewRoman"/>
          <w:szCs w:val="28"/>
        </w:rPr>
        <w:t xml:space="preserve"> определяется с помощью табл</w:t>
      </w:r>
      <w:r>
        <w:rPr>
          <w:rFonts w:eastAsia="TimesNewRoman"/>
          <w:szCs w:val="28"/>
        </w:rPr>
        <w:t>.</w:t>
      </w:r>
      <w:r w:rsidRPr="008E07F6">
        <w:rPr>
          <w:rFonts w:eastAsia="TimesNewRoman"/>
          <w:szCs w:val="28"/>
        </w:rPr>
        <w:t xml:space="preserve"> </w:t>
      </w:r>
      <w:r>
        <w:rPr>
          <w:rFonts w:eastAsia="TimesNewRoman"/>
          <w:szCs w:val="28"/>
        </w:rPr>
        <w:t>4</w:t>
      </w:r>
      <w:r w:rsidRPr="008E07F6">
        <w:rPr>
          <w:rFonts w:eastAsia="TimesNewRoman"/>
          <w:szCs w:val="28"/>
        </w:rPr>
        <w:t>.</w:t>
      </w:r>
    </w:p>
    <w:p w:rsidR="00CA4F1D" w:rsidRDefault="00CA4F1D" w:rsidP="00CA4F1D">
      <w:pPr>
        <w:autoSpaceDE w:val="0"/>
        <w:autoSpaceDN w:val="0"/>
        <w:adjustRightInd w:val="0"/>
        <w:jc w:val="right"/>
        <w:rPr>
          <w:rFonts w:eastAsia="TimesNewRoman"/>
          <w:szCs w:val="28"/>
        </w:rPr>
      </w:pPr>
      <w:r w:rsidRPr="008E07F6">
        <w:rPr>
          <w:rFonts w:eastAsia="TimesNewRoman"/>
          <w:szCs w:val="28"/>
        </w:rPr>
        <w:t xml:space="preserve">Таблица </w:t>
      </w:r>
      <w:r>
        <w:rPr>
          <w:rFonts w:eastAsia="TimesNewRoman"/>
          <w:szCs w:val="28"/>
        </w:rPr>
        <w:t>4</w:t>
      </w:r>
    </w:p>
    <w:p w:rsidR="00CA4F1D" w:rsidRDefault="00CA4F1D" w:rsidP="00CA4F1D">
      <w:pPr>
        <w:autoSpaceDE w:val="0"/>
        <w:autoSpaceDN w:val="0"/>
        <w:adjustRightInd w:val="0"/>
        <w:jc w:val="center"/>
        <w:rPr>
          <w:szCs w:val="28"/>
        </w:rPr>
      </w:pPr>
      <w:r w:rsidRPr="008E07F6">
        <w:rPr>
          <w:szCs w:val="28"/>
        </w:rPr>
        <w:t>Формирование варианта задания</w:t>
      </w:r>
    </w:p>
    <w:tbl>
      <w:tblPr>
        <w:tblStyle w:val="a3"/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54"/>
        <w:gridCol w:w="2353"/>
        <w:gridCol w:w="2201"/>
        <w:gridCol w:w="2219"/>
        <w:gridCol w:w="1344"/>
      </w:tblGrid>
      <w:tr w:rsidR="00CA4F1D" w:rsidRPr="00B25739" w:rsidTr="0030481E">
        <w:trPr>
          <w:trHeight w:val="1037"/>
          <w:jc w:val="center"/>
        </w:trPr>
        <w:tc>
          <w:tcPr>
            <w:tcW w:w="760" w:type="pct"/>
            <w:tcBorders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№ варианта</w:t>
            </w:r>
          </w:p>
        </w:tc>
        <w:tc>
          <w:tcPr>
            <w:tcW w:w="1229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Первая буква фамилии студента</w:t>
            </w:r>
          </w:p>
        </w:tc>
        <w:tc>
          <w:tcPr>
            <w:tcW w:w="1150" w:type="pct"/>
            <w:tcBorders>
              <w:left w:val="double" w:sz="4" w:space="0" w:color="auto"/>
              <w:bottom w:val="double" w:sz="4" w:space="0" w:color="auto"/>
              <w:right w:val="double" w:sz="6" w:space="0" w:color="auto"/>
            </w:tcBorders>
            <w:vAlign w:val="center"/>
            <w:hideMark/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 xml:space="preserve">Максимальное напряжение, </w:t>
            </w:r>
          </w:p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m</m:t>
                  </m:r>
                </m:sub>
              </m:sSub>
            </m:oMath>
            <w:r w:rsidRPr="00F06551">
              <w:rPr>
                <w:szCs w:val="28"/>
              </w:rPr>
              <w:t>, В</w:t>
            </w:r>
          </w:p>
        </w:tc>
        <w:tc>
          <w:tcPr>
            <w:tcW w:w="1159" w:type="pct"/>
            <w:tcBorders>
              <w:left w:val="double" w:sz="4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 xml:space="preserve">Угол регулирования, </w:t>
            </w:r>
            <w:r w:rsidRPr="00F06551">
              <w:rPr>
                <w:i/>
                <w:szCs w:val="28"/>
              </w:rPr>
              <w:t>α</w:t>
            </w:r>
            <w:r w:rsidRPr="00F06551">
              <w:rPr>
                <w:szCs w:val="28"/>
              </w:rPr>
              <w:t>, °</w:t>
            </w:r>
          </w:p>
        </w:tc>
        <w:tc>
          <w:tcPr>
            <w:tcW w:w="702" w:type="pct"/>
            <w:tcBorders>
              <w:left w:val="double" w:sz="6" w:space="0" w:color="auto"/>
              <w:bottom w:val="double" w:sz="4" w:space="0" w:color="auto"/>
            </w:tcBorders>
            <w:vAlign w:val="center"/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Вариант схемы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top w:val="double" w:sz="4" w:space="0" w:color="auto"/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29" w:type="pct"/>
            <w:tcBorders>
              <w:top w:val="double" w:sz="4" w:space="0" w:color="auto"/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25739">
              <w:rPr>
                <w:szCs w:val="28"/>
              </w:rPr>
              <w:t xml:space="preserve">А, </w:t>
            </w:r>
            <w:r>
              <w:rPr>
                <w:szCs w:val="28"/>
              </w:rPr>
              <w:t xml:space="preserve">М, </w:t>
            </w:r>
            <w:proofErr w:type="gramStart"/>
            <w:r>
              <w:rPr>
                <w:szCs w:val="28"/>
              </w:rPr>
              <w:t>Ш</w:t>
            </w:r>
            <w:proofErr w:type="gramEnd"/>
          </w:p>
        </w:tc>
        <w:tc>
          <w:tcPr>
            <w:tcW w:w="1150" w:type="pct"/>
            <w:tcBorders>
              <w:top w:val="double" w:sz="4" w:space="0" w:color="auto"/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150</w:t>
            </w:r>
          </w:p>
        </w:tc>
        <w:tc>
          <w:tcPr>
            <w:tcW w:w="1159" w:type="pct"/>
            <w:tcBorders>
              <w:top w:val="double" w:sz="4" w:space="0" w:color="auto"/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45</w:t>
            </w:r>
          </w:p>
        </w:tc>
        <w:tc>
          <w:tcPr>
            <w:tcW w:w="702" w:type="pct"/>
            <w:tcBorders>
              <w:top w:val="double" w:sz="4" w:space="0" w:color="auto"/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1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25739">
              <w:rPr>
                <w:szCs w:val="28"/>
              </w:rPr>
              <w:t xml:space="preserve">Б, </w:t>
            </w:r>
            <w:r>
              <w:rPr>
                <w:szCs w:val="28"/>
              </w:rPr>
              <w:t xml:space="preserve">Н, </w:t>
            </w:r>
            <w:proofErr w:type="gramStart"/>
            <w:r>
              <w:rPr>
                <w:szCs w:val="28"/>
              </w:rPr>
              <w:t>Щ</w:t>
            </w:r>
            <w:proofErr w:type="gramEnd"/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220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75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2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25739">
              <w:rPr>
                <w:szCs w:val="28"/>
              </w:rPr>
              <w:t xml:space="preserve">В, </w:t>
            </w:r>
            <w:r>
              <w:rPr>
                <w:szCs w:val="28"/>
              </w:rPr>
              <w:t>О, Э</w:t>
            </w:r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70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60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3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25739">
              <w:rPr>
                <w:szCs w:val="28"/>
              </w:rPr>
              <w:t xml:space="preserve">Г,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, Ю</w:t>
            </w:r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280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30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1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25739">
              <w:rPr>
                <w:szCs w:val="28"/>
              </w:rPr>
              <w:t xml:space="preserve">Д, </w:t>
            </w:r>
            <w:proofErr w:type="gramStart"/>
            <w:r>
              <w:rPr>
                <w:szCs w:val="28"/>
              </w:rPr>
              <w:t>Р</w:t>
            </w:r>
            <w:proofErr w:type="gramEnd"/>
            <w:r>
              <w:rPr>
                <w:szCs w:val="28"/>
              </w:rPr>
              <w:t>, Я</w:t>
            </w:r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100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45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2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Е, С</w:t>
            </w:r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350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15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3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Ё, Т</w:t>
            </w:r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200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60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1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Ж</w:t>
            </w:r>
            <w:proofErr w:type="gramEnd"/>
            <w:r>
              <w:rPr>
                <w:szCs w:val="28"/>
              </w:rPr>
              <w:t>, У</w:t>
            </w:r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50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30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2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З</w:t>
            </w:r>
            <w:proofErr w:type="gramEnd"/>
            <w:r>
              <w:rPr>
                <w:szCs w:val="28"/>
              </w:rPr>
              <w:t>, Ф</w:t>
            </w:r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250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45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3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И, Й, Х</w:t>
            </w:r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120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75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1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К, </w:t>
            </w:r>
            <w:proofErr w:type="gramStart"/>
            <w:r>
              <w:rPr>
                <w:szCs w:val="28"/>
              </w:rPr>
              <w:t>Ц</w:t>
            </w:r>
            <w:proofErr w:type="gramEnd"/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300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60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2</w:t>
            </w:r>
          </w:p>
        </w:tc>
      </w:tr>
      <w:tr w:rsidR="00CA4F1D" w:rsidRPr="00B25739" w:rsidTr="0030481E">
        <w:trPr>
          <w:trHeight w:hRule="exact" w:val="454"/>
          <w:jc w:val="center"/>
        </w:trPr>
        <w:tc>
          <w:tcPr>
            <w:tcW w:w="760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229" w:type="pct"/>
            <w:tcBorders>
              <w:right w:val="double" w:sz="4" w:space="0" w:color="auto"/>
            </w:tcBorders>
          </w:tcPr>
          <w:p w:rsidR="00CA4F1D" w:rsidRPr="00B25739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Л, Ч</w:t>
            </w:r>
          </w:p>
        </w:tc>
        <w:tc>
          <w:tcPr>
            <w:tcW w:w="1150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180</w:t>
            </w:r>
          </w:p>
        </w:tc>
        <w:tc>
          <w:tcPr>
            <w:tcW w:w="1159" w:type="pct"/>
            <w:tcBorders>
              <w:left w:val="double" w:sz="4" w:space="0" w:color="auto"/>
              <w:righ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30</w:t>
            </w:r>
          </w:p>
        </w:tc>
        <w:tc>
          <w:tcPr>
            <w:tcW w:w="702" w:type="pct"/>
            <w:tcBorders>
              <w:left w:val="double" w:sz="6" w:space="0" w:color="auto"/>
            </w:tcBorders>
          </w:tcPr>
          <w:p w:rsidR="00CA4F1D" w:rsidRPr="00F06551" w:rsidRDefault="00CA4F1D" w:rsidP="0030481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06551">
              <w:rPr>
                <w:szCs w:val="28"/>
              </w:rPr>
              <w:t>Рис.</w:t>
            </w:r>
            <w:r>
              <w:rPr>
                <w:szCs w:val="28"/>
              </w:rPr>
              <w:t xml:space="preserve"> </w:t>
            </w:r>
            <w:r w:rsidRPr="00F06551">
              <w:rPr>
                <w:szCs w:val="28"/>
              </w:rPr>
              <w:t>3</w:t>
            </w:r>
          </w:p>
        </w:tc>
      </w:tr>
    </w:tbl>
    <w:p w:rsidR="00CA4F1D" w:rsidRPr="00CE3ABB" w:rsidRDefault="00CA4F1D" w:rsidP="00CA4F1D">
      <w:pPr>
        <w:pStyle w:val="a4"/>
        <w:jc w:val="left"/>
        <w:rPr>
          <w:sz w:val="16"/>
          <w:szCs w:val="16"/>
        </w:rPr>
      </w:pPr>
    </w:p>
    <w:p w:rsidR="00CA4F1D" w:rsidRDefault="00CA4F1D" w:rsidP="00CA4F1D">
      <w:pPr>
        <w:pStyle w:val="a4"/>
        <w:numPr>
          <w:ilvl w:val="0"/>
          <w:numId w:val="1"/>
        </w:numPr>
        <w:spacing w:line="360" w:lineRule="auto"/>
        <w:ind w:left="0" w:firstLine="709"/>
        <w:jc w:val="both"/>
      </w:pPr>
      <w:r>
        <w:t xml:space="preserve">Постройте совмещенные по углу регулирования </w:t>
      </w:r>
      <w:r w:rsidRPr="00952FFB">
        <w:rPr>
          <w:i/>
        </w:rPr>
        <w:t>α</w:t>
      </w:r>
      <w:r>
        <w:t xml:space="preserve"> временные графики напряжений на вторичной обмотке трансформатора</w:t>
      </w:r>
      <w:proofErr w:type="gramStart"/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Т</m:t>
            </m:r>
            <w:proofErr w:type="gramEnd"/>
          </m:sub>
        </m:sSub>
      </m:oMath>
      <w:r>
        <w:t xml:space="preserve">, на управляющих электродах тиристоров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У</m:t>
            </m:r>
          </m:sub>
        </m:sSub>
      </m:oMath>
      <w:r>
        <w:t xml:space="preserve">, напряжение на резистивной </w:t>
      </w:r>
      <w:r>
        <w:lastRenderedPageBreak/>
        <w:t xml:space="preserve">нагрузке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</m:oMath>
      <w:r>
        <w:t xml:space="preserve">. Считать, что тиристоры – идеальные ключи. Частота питающего напряжения </w:t>
      </w:r>
      <m:oMath>
        <m:r>
          <w:rPr>
            <w:rFonts w:ascii="Cambria Math" w:hAnsi="Cambria Math"/>
            <w:lang w:val="en-US"/>
          </w:rPr>
          <m:t>f</m:t>
        </m:r>
        <m:r>
          <w:rPr>
            <w:rFonts w:ascii="Cambria Math" w:hAnsi="Cambria Math"/>
          </w:rPr>
          <m:t>=50 Гц</m:t>
        </m:r>
      </m:oMath>
      <w:r>
        <w:t>.</w:t>
      </w:r>
    </w:p>
    <w:p w:rsidR="00CA4F1D" w:rsidRDefault="00CA4F1D" w:rsidP="00CA4F1D">
      <w:pPr>
        <w:pStyle w:val="a4"/>
        <w:numPr>
          <w:ilvl w:val="0"/>
          <w:numId w:val="1"/>
        </w:numPr>
        <w:spacing w:line="360" w:lineRule="auto"/>
        <w:ind w:left="0" w:firstLine="709"/>
        <w:jc w:val="both"/>
      </w:pPr>
      <w:r>
        <w:t>Кратко опишите принцип работы управляемого выпрямителя с импульсно-фазовым управлением (ИФУ) и назначение элементов.</w:t>
      </w:r>
    </w:p>
    <w:p w:rsidR="00CA4F1D" w:rsidRDefault="00CA4F1D" w:rsidP="00CA4F1D">
      <w:pPr>
        <w:pStyle w:val="a4"/>
        <w:numPr>
          <w:ilvl w:val="0"/>
          <w:numId w:val="1"/>
        </w:numPr>
        <w:spacing w:line="360" w:lineRule="auto"/>
        <w:ind w:left="0" w:firstLine="709"/>
        <w:jc w:val="both"/>
      </w:pPr>
      <w:r>
        <w:t>Определите среднее значение напряжения на нагрузке по заданному значению угла регулирования и схеме управляемого выпрямителя.</w:t>
      </w:r>
    </w:p>
    <w:p w:rsidR="00CA4F1D" w:rsidRDefault="00CA4F1D" w:rsidP="00CA4F1D">
      <w:pPr>
        <w:pStyle w:val="a4"/>
        <w:numPr>
          <w:ilvl w:val="0"/>
          <w:numId w:val="1"/>
        </w:numPr>
        <w:spacing w:line="360" w:lineRule="auto"/>
        <w:ind w:left="0" w:firstLine="709"/>
        <w:jc w:val="both"/>
      </w:pPr>
      <w:r>
        <w:t>Укажите основные преимущества и недостатки применяемой системы управления выпрямителя.</w:t>
      </w:r>
    </w:p>
    <w:p w:rsidR="00CA4F1D" w:rsidRDefault="00CA4F1D" w:rsidP="00CA4F1D">
      <w:r w:rsidRPr="00745DF3">
        <w:rPr>
          <w:i/>
        </w:rPr>
        <w:t>Схемы однофазных управляемых выпрямителей по вариантам представлены на рисунках 1</w:t>
      </w:r>
      <w:r>
        <w:rPr>
          <w:i/>
        </w:rPr>
        <w:t>–</w:t>
      </w:r>
      <w:r w:rsidRPr="00745DF3">
        <w:rPr>
          <w:i/>
        </w:rPr>
        <w:t>3</w:t>
      </w:r>
      <w:r>
        <w:t>.</w:t>
      </w:r>
    </w:p>
    <w:p w:rsidR="00CA4F1D" w:rsidRPr="003872E0" w:rsidRDefault="00CA4F1D" w:rsidP="00CA4F1D">
      <w:pPr>
        <w:ind w:firstLine="0"/>
        <w:jc w:val="center"/>
      </w:pPr>
      <w:r w:rsidRPr="00D531B3">
        <w:rPr>
          <w:color w:val="00000A"/>
          <w:szCs w:val="28"/>
        </w:rPr>
        <w:object w:dxaOrig="4797" w:dyaOrig="2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75pt;height:106.95pt" o:ole="">
            <v:imagedata r:id="rId6" o:title=""/>
          </v:shape>
          <o:OLEObject Type="Embed" ProgID="Word.Picture.8" ShapeID="_x0000_i1025" DrawAspect="Content" ObjectID="_1662880906" r:id="rId7"/>
        </w:object>
      </w:r>
    </w:p>
    <w:p w:rsidR="00CA4F1D" w:rsidRDefault="00CA4F1D" w:rsidP="00CA4F1D">
      <w:pPr>
        <w:ind w:firstLine="0"/>
        <w:jc w:val="center"/>
      </w:pPr>
      <w:r>
        <w:t>Рис. 1. Схема однополупериодного управляемого выпрямителя</w:t>
      </w:r>
    </w:p>
    <w:p w:rsidR="00CA4F1D" w:rsidRDefault="00CA4F1D" w:rsidP="00CA4F1D">
      <w:pPr>
        <w:ind w:firstLine="0"/>
        <w:jc w:val="center"/>
      </w:pPr>
      <w:r w:rsidRPr="00D531B3">
        <w:object w:dxaOrig="4797" w:dyaOrig="4000">
          <v:shape id="_x0000_i1026" type="#_x0000_t75" style="width:208.8pt;height:175.9pt" o:ole="">
            <v:imagedata r:id="rId8" o:title=""/>
          </v:shape>
          <o:OLEObject Type="Embed" ProgID="Word.Picture.8" ShapeID="_x0000_i1026" DrawAspect="Content" ObjectID="_1662880907" r:id="rId9"/>
        </w:object>
      </w:r>
    </w:p>
    <w:p w:rsidR="00CA4F1D" w:rsidRDefault="00CA4F1D" w:rsidP="00CA4F1D">
      <w:pPr>
        <w:ind w:firstLine="0"/>
        <w:jc w:val="center"/>
      </w:pPr>
      <w:r>
        <w:t>Рис. 2. Схема двухфазного управляемого выпрямителя со средней точкой</w:t>
      </w:r>
    </w:p>
    <w:p w:rsidR="00CA4F1D" w:rsidRDefault="00CA4F1D" w:rsidP="00CA4F1D">
      <w:pPr>
        <w:ind w:firstLine="0"/>
        <w:jc w:val="center"/>
      </w:pPr>
      <w:r w:rsidRPr="00D531B3">
        <w:object w:dxaOrig="5080" w:dyaOrig="3574">
          <v:shape id="_x0000_i1027" type="#_x0000_t75" style="width:218.05pt;height:156.35pt" o:ole="">
            <v:imagedata r:id="rId10" o:title=""/>
          </v:shape>
          <o:OLEObject Type="Embed" ProgID="Word.Picture.8" ShapeID="_x0000_i1027" DrawAspect="Content" ObjectID="_1662880908" r:id="rId11"/>
        </w:object>
      </w:r>
    </w:p>
    <w:p w:rsidR="00CA4F1D" w:rsidRDefault="00CA4F1D" w:rsidP="00CA4F1D">
      <w:pPr>
        <w:ind w:firstLine="0"/>
        <w:jc w:val="center"/>
      </w:pPr>
      <w:r>
        <w:t>Рис. 3. Схема мостового управляемого выпрямителя</w:t>
      </w:r>
    </w:p>
    <w:p w:rsidR="00CA4F1D" w:rsidRPr="007B5020" w:rsidRDefault="00CA4F1D" w:rsidP="00CA4F1D">
      <w:pPr>
        <w:autoSpaceDE w:val="0"/>
        <w:autoSpaceDN w:val="0"/>
        <w:adjustRightInd w:val="0"/>
        <w:ind w:firstLine="708"/>
        <w:rPr>
          <w:i/>
          <w:szCs w:val="28"/>
        </w:rPr>
      </w:pPr>
      <w:r w:rsidRPr="007B5020">
        <w:rPr>
          <w:i/>
          <w:szCs w:val="28"/>
        </w:rPr>
        <w:t>Краткие теоретические сведения</w:t>
      </w:r>
    </w:p>
    <w:p w:rsidR="00CA4F1D" w:rsidRPr="001D1F60" w:rsidRDefault="00CA4F1D" w:rsidP="00CA4F1D">
      <w:pPr>
        <w:autoSpaceDE w:val="0"/>
        <w:autoSpaceDN w:val="0"/>
        <w:adjustRightInd w:val="0"/>
        <w:ind w:firstLine="708"/>
      </w:pPr>
      <w:r>
        <w:rPr>
          <w:szCs w:val="28"/>
        </w:rPr>
        <w:t xml:space="preserve">Полупроводниковые тиристоры применяются в схемах управляемых выпрямительных устройств. Сущность </w:t>
      </w:r>
      <w:r w:rsidRPr="007B5020">
        <w:rPr>
          <w:i/>
          <w:szCs w:val="28"/>
        </w:rPr>
        <w:t>фазового способа управления</w:t>
      </w:r>
      <w:r>
        <w:rPr>
          <w:szCs w:val="28"/>
        </w:rPr>
        <w:t xml:space="preserve"> выпрямителя состоит в подаче управляющих сигналов на управляющие электроды тиристоров, которые </w:t>
      </w:r>
      <w:proofErr w:type="gramStart"/>
      <w:r>
        <w:rPr>
          <w:szCs w:val="28"/>
        </w:rPr>
        <w:t>оказываются последовательно включены</w:t>
      </w:r>
      <w:proofErr w:type="gramEnd"/>
      <w:r>
        <w:rPr>
          <w:szCs w:val="28"/>
        </w:rPr>
        <w:t xml:space="preserve"> между источником переменного напряжения и нагрузкой (рис. 4).</w:t>
      </w:r>
    </w:p>
    <w:bookmarkStart w:id="0" w:name="_MON_1616745063"/>
    <w:bookmarkEnd w:id="0"/>
    <w:p w:rsidR="00CA4F1D" w:rsidRDefault="00CA4F1D" w:rsidP="00CA4F1D">
      <w:pPr>
        <w:ind w:firstLine="0"/>
        <w:jc w:val="center"/>
      </w:pPr>
      <w:r w:rsidRPr="00D531B3">
        <w:object w:dxaOrig="5080" w:dyaOrig="3574">
          <v:shape id="_x0000_i1028" type="#_x0000_t75" style="width:242.75pt;height:173.85pt" o:ole="">
            <v:imagedata r:id="rId12" o:title=""/>
          </v:shape>
          <o:OLEObject Type="Embed" ProgID="Word.Picture.8" ShapeID="_x0000_i1028" DrawAspect="Content" ObjectID="_1662880909" r:id="rId13"/>
        </w:object>
      </w:r>
    </w:p>
    <w:p w:rsidR="00CA4F1D" w:rsidRPr="00815AF7" w:rsidRDefault="00CA4F1D" w:rsidP="00CA4F1D">
      <w:pPr>
        <w:ind w:firstLine="0"/>
        <w:jc w:val="center"/>
      </w:pPr>
      <w:r>
        <w:t xml:space="preserve">Рис. 4. Условная схема однополупериодного управляемого выпрямителя: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</w:rPr>
              <m:t>Т</m:t>
            </m:r>
          </m:sub>
        </m:sSub>
      </m:oMath>
      <w:r>
        <w:t xml:space="preserve"> – переменное напряжение на выходе вторичной обмотки трансформатора; </w:t>
      </w:r>
      <w:r w:rsidRPr="00967BE7">
        <w:rPr>
          <w:i/>
        </w:rPr>
        <w:t>VS</w:t>
      </w:r>
      <w:r>
        <w:t xml:space="preserve">1 – полупроводниковый тиристор; СИФУ – система импульсно-фазового управления;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</m:oMath>
      <w:r>
        <w:t xml:space="preserve"> – сопротивление активной нагрузки;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</m:oMath>
      <w:r w:rsidRPr="00967BE7">
        <w:rPr>
          <w:iCs/>
        </w:rPr>
        <w:t xml:space="preserve"> </w:t>
      </w:r>
      <w:r>
        <w:t xml:space="preserve">– напряжение на нагрузке;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</m:oMath>
      <w:r w:rsidRPr="00815AF7">
        <w:t xml:space="preserve"> </w:t>
      </w:r>
      <w:r>
        <w:t>–</w:t>
      </w:r>
      <w:r w:rsidRPr="00815AF7">
        <w:t xml:space="preserve"> </w:t>
      </w:r>
      <w:r>
        <w:t>токи нагрузки.</w:t>
      </w:r>
    </w:p>
    <w:p w:rsidR="00CA4F1D" w:rsidRDefault="00CA4F1D" w:rsidP="00CA4F1D">
      <w:pPr>
        <w:pStyle w:val="a4"/>
        <w:spacing w:line="360" w:lineRule="auto"/>
        <w:jc w:val="both"/>
        <w:rPr>
          <w:szCs w:val="28"/>
        </w:rPr>
      </w:pPr>
      <w:r>
        <w:rPr>
          <w:szCs w:val="28"/>
        </w:rPr>
        <w:t>Тиристор как управляемый ключ предназначен для выпрямления и регулирования выпрямленного напряжения на нагрузке, а СИФУ – для управления моментом отпирания тиристора.</w:t>
      </w:r>
    </w:p>
    <w:p w:rsidR="00CA4F1D" w:rsidRPr="00E63506" w:rsidRDefault="00CA4F1D" w:rsidP="00CA4F1D">
      <w:pPr>
        <w:pStyle w:val="a4"/>
        <w:spacing w:line="360" w:lineRule="auto"/>
        <w:jc w:val="both"/>
      </w:pPr>
      <w:r>
        <w:lastRenderedPageBreak/>
        <w:t xml:space="preserve">Пример выполнения совмещенных графиков напряжений для </w:t>
      </w:r>
      <w:r w:rsidRPr="00CE3ABB">
        <w:rPr>
          <w:i/>
        </w:rPr>
        <w:t>однополупериодного управляемого выпрямителя</w:t>
      </w:r>
      <w:r>
        <w:t xml:space="preserve"> показан на рис. 5. Они соответствуют величине амплитуды напряжения на вторичной обмотке трансформатора</w:t>
      </w:r>
      <w:proofErr w:type="gramStart"/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Т</m:t>
            </m:r>
            <w:proofErr w:type="gramEnd"/>
          </m:sub>
        </m:sSub>
        <m:r>
          <w:rPr>
            <w:rFonts w:ascii="Cambria Math" w:hAnsi="Cambria Math"/>
          </w:rPr>
          <m:t>=100 В</m:t>
        </m:r>
      </m:oMath>
      <w:r>
        <w:t xml:space="preserve">, значение угла регулирования </w:t>
      </w:r>
      <m:oMath>
        <m:r>
          <w:rPr>
            <w:rFonts w:ascii="Cambria Math" w:hAnsi="Cambria Math"/>
          </w:rPr>
          <m:t>α=15°</m:t>
        </m:r>
      </m:oMath>
      <w:r>
        <w:t>.</w:t>
      </w:r>
    </w:p>
    <w:bookmarkStart w:id="1" w:name="_MON_1616692066"/>
    <w:bookmarkEnd w:id="1"/>
    <w:p w:rsidR="00CA4F1D" w:rsidRDefault="00CA4F1D" w:rsidP="00CA4F1D">
      <w:pPr>
        <w:pStyle w:val="a4"/>
        <w:spacing w:line="360" w:lineRule="auto"/>
        <w:ind w:firstLine="0"/>
      </w:pPr>
      <w:r w:rsidRPr="00D531B3">
        <w:object w:dxaOrig="13869" w:dyaOrig="15624">
          <v:shape id="_x0000_i1029" type="#_x0000_t75" style="width:464.9pt;height:530.75pt" o:ole="">
            <v:imagedata r:id="rId14" o:title=""/>
          </v:shape>
          <o:OLEObject Type="Embed" ProgID="Word.Picture.8" ShapeID="_x0000_i1029" DrawAspect="Content" ObjectID="_1662880910" r:id="rId15"/>
        </w:object>
      </w:r>
    </w:p>
    <w:p w:rsidR="00CA4F1D" w:rsidRDefault="00CA4F1D" w:rsidP="00CA4F1D">
      <w:pPr>
        <w:pStyle w:val="a4"/>
        <w:spacing w:line="360" w:lineRule="auto"/>
        <w:ind w:firstLine="0"/>
      </w:pPr>
      <w:r>
        <w:t>Рис. 5. Совмещенные графики напряжений при работе однополупериодного управляемого выпрямителя СИФУ</w:t>
      </w:r>
    </w:p>
    <w:p w:rsidR="00CA4F1D" w:rsidRDefault="00CA4F1D" w:rsidP="00CA4F1D">
      <w:pPr>
        <w:pStyle w:val="a4"/>
        <w:spacing w:line="360" w:lineRule="auto"/>
        <w:jc w:val="both"/>
      </w:pPr>
      <w:r>
        <w:t>Среднее значение напряжения управляемого выпрямителя можно найти по интегральной формуле (1):</w:t>
      </w:r>
    </w:p>
    <w:p w:rsidR="00CA4F1D" w:rsidRPr="00111FAE" w:rsidRDefault="00CA4F1D" w:rsidP="00CA4F1D">
      <w:pPr>
        <w:pStyle w:val="a4"/>
        <w:spacing w:line="360" w:lineRule="auto"/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  <m:r>
          <w:rPr>
            <w:rFonts w:ascii="Cambria Math" w:hAnsi="Cambria Math"/>
          </w:rPr>
          <m:t>·</m:t>
        </m:r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T/12</m:t>
            </m:r>
          </m:sub>
          <m:sup>
            <m:r>
              <w:rPr>
                <w:rFonts w:ascii="Cambria Math" w:hAnsi="Cambria Math"/>
              </w:rPr>
              <m:t>T/2</m:t>
            </m:r>
          </m:sup>
          <m:e>
            <m:r>
              <w:rPr>
                <w:rFonts w:ascii="Cambria Math" w:hAnsi="Cambria Math"/>
              </w:rPr>
              <m:t>100·</m:t>
            </m:r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ωt</m:t>
                    </m:r>
                  </m:e>
                </m:d>
              </m:e>
            </m:func>
            <m:r>
              <w:rPr>
                <w:rFonts w:ascii="Cambria Math" w:hAnsi="Cambria Math"/>
              </w:rPr>
              <m:t>dt≈29,7 B</m:t>
            </m:r>
          </m:e>
        </m:nary>
      </m:oMath>
      <w:r w:rsidRPr="00111FAE">
        <w:t>,                       (1)</w:t>
      </w:r>
    </w:p>
    <w:p w:rsidR="00CA4F1D" w:rsidRPr="00323786" w:rsidRDefault="00CA4F1D" w:rsidP="00CA4F1D">
      <w:pPr>
        <w:pStyle w:val="a4"/>
        <w:spacing w:line="360" w:lineRule="auto"/>
        <w:jc w:val="both"/>
      </w:pPr>
      <w:r>
        <w:t xml:space="preserve">где </w:t>
      </w:r>
      <m:oMath>
        <m:r>
          <w:rPr>
            <w:rFonts w:ascii="Cambria Math" w:hAnsi="Cambria Math"/>
          </w:rPr>
          <m:t>T=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  <w:lang w:val="en-US"/>
              </w:rPr>
              <m:t>f</m:t>
            </m:r>
          </m:den>
        </m:f>
      </m:oMath>
      <w:r w:rsidRPr="00111FAE">
        <w:t xml:space="preserve"> – </w:t>
      </w:r>
      <w:r>
        <w:t xml:space="preserve">период питающего напряжения; </w:t>
      </w:r>
      <m:oMath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T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 w:rsidRPr="00323786">
        <w:t xml:space="preserve"> </w:t>
      </w:r>
      <w:r>
        <w:t>–</w:t>
      </w:r>
      <w:r w:rsidRPr="00323786">
        <w:t xml:space="preserve"> </w:t>
      </w:r>
      <w:r>
        <w:t xml:space="preserve">момент подачи импульса на управляющий электрод тиристора </w:t>
      </w:r>
      <m:oMath>
        <m:r>
          <w:rPr>
            <w:rFonts w:ascii="Cambria Math" w:hAnsi="Cambria Math"/>
          </w:rPr>
          <m:t>VS1</m:t>
        </m:r>
      </m:oMath>
      <w:r w:rsidRPr="00323786">
        <w:t xml:space="preserve"> </w:t>
      </w:r>
      <w:r>
        <w:t xml:space="preserve">от системы </w:t>
      </w:r>
      <w:r>
        <w:rPr>
          <w:szCs w:val="28"/>
        </w:rPr>
        <w:t xml:space="preserve">импульсно-фазового управления (СИФУ), соответствующего углу </w:t>
      </w:r>
      <m:oMath>
        <m:r>
          <w:rPr>
            <w:rFonts w:ascii="Cambria Math" w:hAnsi="Cambria Math"/>
            <w:szCs w:val="28"/>
          </w:rPr>
          <m:t>α=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15</m:t>
            </m:r>
          </m:e>
          <m:sup>
            <m:r>
              <w:rPr>
                <w:rFonts w:ascii="Cambria Math" w:hAnsi="Cambria Math"/>
                <w:szCs w:val="28"/>
              </w:rPr>
              <m:t>°</m:t>
            </m:r>
          </m:sup>
        </m:sSup>
      </m:oMath>
      <w:r>
        <w:rPr>
          <w:szCs w:val="28"/>
        </w:rPr>
        <w:t>;</w:t>
      </w:r>
      <w:r>
        <w:t xml:space="preserve"> </w:t>
      </w:r>
      <m:oMath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T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323786">
        <w:t xml:space="preserve"> </w:t>
      </w:r>
      <w:r>
        <w:t>–</w:t>
      </w:r>
      <w:r w:rsidRPr="00323786">
        <w:t xml:space="preserve"> </w:t>
      </w:r>
      <w:r>
        <w:t>момент времени, соответствующий закрыванию тиристора</w:t>
      </w:r>
      <w:r w:rsidRPr="00323786">
        <w:t xml:space="preserve"> </w:t>
      </w:r>
      <m:oMath>
        <m:r>
          <w:rPr>
            <w:rFonts w:ascii="Cambria Math" w:hAnsi="Cambria Math"/>
          </w:rPr>
          <m:t>VS1</m:t>
        </m:r>
      </m:oMath>
      <w:r>
        <w:t>.</w:t>
      </w:r>
    </w:p>
    <w:p w:rsidR="00CA4F1D" w:rsidRDefault="00CA4F1D" w:rsidP="00CA4F1D"/>
    <w:p w:rsidR="00051DD0" w:rsidRDefault="00051DD0">
      <w:bookmarkStart w:id="2" w:name="_GoBack"/>
      <w:bookmarkEnd w:id="2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F51CC"/>
    <w:multiLevelType w:val="hybridMultilevel"/>
    <w:tmpl w:val="80D85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4A0"/>
    <w:rsid w:val="00022138"/>
    <w:rsid w:val="00051DD0"/>
    <w:rsid w:val="002011B0"/>
    <w:rsid w:val="00817091"/>
    <w:rsid w:val="008F44A0"/>
    <w:rsid w:val="00C05F32"/>
    <w:rsid w:val="00CA4F1D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1D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CA4F1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4F1D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CA4F1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CA4F1D"/>
    <w:pPr>
      <w:spacing w:line="240" w:lineRule="auto"/>
      <w:jc w:val="center"/>
    </w:pPr>
    <w:rPr>
      <w:rFonts w:eastAsia="Times New Roman"/>
      <w:szCs w:val="24"/>
      <w:lang w:eastAsia="ru-RU"/>
    </w:rPr>
  </w:style>
  <w:style w:type="character" w:customStyle="1" w:styleId="a5">
    <w:name w:val="Название Знак"/>
    <w:basedOn w:val="a0"/>
    <w:link w:val="a4"/>
    <w:rsid w:val="00CA4F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A4F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4F1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1D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CA4F1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4F1D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CA4F1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CA4F1D"/>
    <w:pPr>
      <w:spacing w:line="240" w:lineRule="auto"/>
      <w:jc w:val="center"/>
    </w:pPr>
    <w:rPr>
      <w:rFonts w:eastAsia="Times New Roman"/>
      <w:szCs w:val="24"/>
      <w:lang w:eastAsia="ru-RU"/>
    </w:rPr>
  </w:style>
  <w:style w:type="character" w:customStyle="1" w:styleId="a5">
    <w:name w:val="Название Знак"/>
    <w:basedOn w:val="a0"/>
    <w:link w:val="a4"/>
    <w:rsid w:val="00CA4F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A4F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4F1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2020-09-29T06:35:00Z</dcterms:created>
  <dcterms:modified xsi:type="dcterms:W3CDTF">2020-09-29T06:35:00Z</dcterms:modified>
</cp:coreProperties>
</file>