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Образовательное частное учреждение высшего образования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МОСКОВСКАЯ МЕЖДУНАРОДНАЯ  АКАДЕМИЯ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strike/>
          <w:sz w:val="24"/>
          <w:szCs w:val="24"/>
          <w:lang w:eastAsia="ru-RU"/>
        </w:rPr>
        <w:pBdr>
          <w:bottom w:val="single" w:color="000000" w:sz="24" w:space="1"/>
        </w:pBdr>
      </w:pPr>
      <w:r>
        <w:rPr>
          <w:rFonts w:ascii="Times New Roman" w:hAnsi="Times New Roman"/>
          <w:strike/>
          <w:sz w:val="24"/>
          <w:szCs w:val="24"/>
          <w:lang w:eastAsia="ru-RU"/>
        </w:rPr>
      </w:r>
      <w:r>
        <w:rPr>
          <w:rFonts w:ascii="Times New Roman" w:hAnsi="Times New Roman"/>
          <w:strike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i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val="en-US"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1753870"/>
                <wp:effectExtent l="0" t="0" r="3175" b="0"/>
                <wp:docPr id="1" name="Рисунок 1" descr="РПД РПП ГИ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РПД РПП ГИА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940425" cy="1753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67.75pt;height:138.10pt;mso-wrap-distance-left:0.00pt;mso-wrap-distance-top:0.00pt;mso-wrap-distance-right:0.00pt;mso-wrap-distance-bottom:0.00pt;" stroked="f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i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МЕТОДИЧЕСКОЕ ПОСОБИЕ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ind w:right="-284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 ВЫПОЛНЕНИЮ ОТЧЁТОВ ПО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ПРОИЗВОДСТВЕННОЙ ПРАКТИКЕ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</w:r>
    </w:p>
    <w:p>
      <w:pPr>
        <w:jc w:val="center"/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/>
          <w:sz w:val="28"/>
          <w:szCs w:val="28"/>
          <w:lang w:eastAsia="ru-RU"/>
        </w:rPr>
        <w:t xml:space="preserve">Педагогическая практика</w:t>
      </w:r>
      <w:r>
        <w:rPr>
          <w:rFonts w:ascii="Times New Roman" w:hAnsi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Направление подготовки </w:t>
      </w:r>
      <w:r>
        <w:rPr>
          <w:rFonts w:ascii="Times New Roman" w:hAnsi="Times New Roman"/>
          <w:b/>
          <w:sz w:val="28"/>
          <w:szCs w:val="28"/>
        </w:rPr>
        <w:t xml:space="preserve">44.03.01 Педагогическое образование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Направленность подготовки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Физическая культура, спорт и фитнес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Квалификация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бакалавр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/>
          <w:sz w:val="28"/>
          <w:szCs w:val="28"/>
          <w:lang w:eastAsia="ru-RU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sz w:val="28"/>
          <w:szCs w:val="28"/>
          <w:lang w:eastAsia="ru-RU"/>
        </w:rPr>
        <w:t xml:space="preserve">Москва, 202</w:t>
      </w:r>
      <w:r>
        <w:rPr>
          <w:rFonts w:ascii="Times New Roman" w:hAnsi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г.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ind w:left="120" w:right="10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разработке </w:t>
      </w:r>
      <w:r>
        <w:rPr>
          <w:rFonts w:ascii="Times New Roman" w:hAnsi="Times New Roman"/>
          <w:sz w:val="24"/>
          <w:szCs w:val="24"/>
        </w:rPr>
        <w:t xml:space="preserve">методического пособия по выполнению отчетов по </w:t>
      </w:r>
      <w:r>
        <w:rPr>
          <w:rFonts w:ascii="Times New Roman" w:hAnsi="Times New Roman"/>
          <w:sz w:val="24"/>
          <w:szCs w:val="24"/>
        </w:rPr>
        <w:t xml:space="preserve">ПРОИЗВОДСТВЕННОЙ ПРАКТИКЕ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Педагогическая практика</w:t>
      </w:r>
      <w:r>
        <w:rPr>
          <w:rFonts w:ascii="Times New Roman" w:hAnsi="Times New Roman"/>
          <w:sz w:val="24"/>
          <w:szCs w:val="24"/>
        </w:rPr>
        <w:t xml:space="preserve">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основу положены:</w:t>
      </w:r>
      <w:r>
        <w:rPr>
          <w:rFonts w:ascii="Times New Roman" w:hAnsi="Times New Roman"/>
          <w:sz w:val="24"/>
          <w:szCs w:val="24"/>
        </w:rPr>
      </w:r>
    </w:p>
    <w:p>
      <w:pPr>
        <w:pStyle w:val="767"/>
        <w:numPr>
          <w:ilvl w:val="0"/>
          <w:numId w:val="3"/>
        </w:numPr>
        <w:ind w:right="10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ФГОС ВО</w:t>
      </w:r>
      <w:r>
        <w:rPr>
          <w:rFonts w:ascii="Times New Roman" w:hAnsi="Times New Roman"/>
          <w:sz w:val="24"/>
          <w:szCs w:val="24"/>
        </w:rPr>
        <w:t xml:space="preserve"> по направлению подготовки </w:t>
      </w:r>
      <w:r>
        <w:rPr>
          <w:rFonts w:ascii="Times New Roman" w:hAnsi="Times New Roman"/>
          <w:bCs/>
          <w:sz w:val="24"/>
          <w:szCs w:val="24"/>
        </w:rPr>
        <w:t xml:space="preserve">44.03.01 «Педагогическое образование», направленность «</w:t>
      </w:r>
      <w:r>
        <w:rPr>
          <w:rFonts w:ascii="Times New Roman" w:hAnsi="Times New Roman"/>
          <w:bCs/>
          <w:sz w:val="24"/>
          <w:szCs w:val="24"/>
        </w:rPr>
        <w:t xml:space="preserve">Физическая культура, спорт и фитнес</w:t>
      </w:r>
      <w:r>
        <w:rPr>
          <w:rFonts w:ascii="Times New Roman" w:hAnsi="Times New Roman"/>
          <w:bCs/>
          <w:sz w:val="24"/>
          <w:szCs w:val="24"/>
        </w:rPr>
        <w:t xml:space="preserve">»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утвержденного </w:t>
      </w:r>
      <w:r>
        <w:rPr>
          <w:rFonts w:ascii="Times New Roman" w:hAnsi="Times New Roman"/>
          <w:bCs/>
          <w:sz w:val="24"/>
          <w:szCs w:val="24"/>
        </w:rPr>
        <w:t xml:space="preserve">от 22.02.2018 № 121 (Зарегистрировано в Минюсте России 15.03.2018 № 50362), а также с учетом профессиональных стандартов.</w:t>
      </w:r>
      <w:r>
        <w:rPr>
          <w:rFonts w:ascii="Times New Roman" w:hAnsi="Times New Roman"/>
          <w:bCs/>
          <w:sz w:val="24"/>
          <w:szCs w:val="24"/>
        </w:rPr>
      </w:r>
    </w:p>
    <w:p>
      <w:pPr>
        <w:pStyle w:val="767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Учебный план по </w:t>
      </w:r>
      <w:r>
        <w:rPr>
          <w:rFonts w:ascii="Times New Roman" w:hAnsi="Times New Roman"/>
          <w:bCs/>
          <w:sz w:val="24"/>
          <w:szCs w:val="24"/>
        </w:rPr>
        <w:t xml:space="preserve">направлению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44.03.01 «Педагогическое образование», направленность «</w:t>
      </w:r>
      <w:r>
        <w:rPr>
          <w:rFonts w:ascii="Times New Roman" w:hAnsi="Times New Roman"/>
          <w:bCs/>
          <w:sz w:val="24"/>
          <w:szCs w:val="24"/>
        </w:rPr>
        <w:t xml:space="preserve">Физическая культура, спорт и фитнес</w:t>
      </w:r>
      <w:r>
        <w:rPr>
          <w:rFonts w:ascii="Times New Roman" w:hAnsi="Times New Roman"/>
          <w:bCs/>
          <w:sz w:val="24"/>
          <w:szCs w:val="24"/>
        </w:rPr>
        <w:t xml:space="preserve">»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pStyle w:val="767"/>
        <w:numPr>
          <w:ilvl w:val="0"/>
          <w:numId w:val="3"/>
        </w:numPr>
        <w:ind w:right="1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Программа </w:t>
      </w:r>
      <w:r>
        <w:rPr>
          <w:rFonts w:ascii="Times New Roman" w:hAnsi="Times New Roman"/>
          <w:sz w:val="24"/>
          <w:szCs w:val="24"/>
        </w:rPr>
        <w:t xml:space="preserve">Производственной практики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педагогическая</w:t>
      </w:r>
      <w:r>
        <w:rPr>
          <w:rFonts w:ascii="Times New Roman" w:hAnsi="Times New Roman"/>
          <w:sz w:val="24"/>
          <w:szCs w:val="24"/>
        </w:rPr>
        <w:t xml:space="preserve"> практика</w:t>
      </w:r>
      <w:r>
        <w:rPr>
          <w:rFonts w:ascii="Times New Roman" w:hAnsi="Times New Roman"/>
          <w:sz w:val="24"/>
          <w:szCs w:val="24"/>
        </w:rPr>
        <w:t xml:space="preserve">) по направлению </w:t>
      </w:r>
      <w:r>
        <w:rPr>
          <w:rFonts w:ascii="Times New Roman" w:hAnsi="Times New Roman"/>
          <w:bCs/>
          <w:sz w:val="24"/>
          <w:szCs w:val="24"/>
        </w:rPr>
        <w:t xml:space="preserve">44.03.01 «Педагогическое образование», направленность «</w:t>
      </w:r>
      <w:r>
        <w:rPr>
          <w:rFonts w:ascii="Times New Roman" w:hAnsi="Times New Roman"/>
          <w:bCs/>
          <w:sz w:val="24"/>
          <w:szCs w:val="24"/>
        </w:rPr>
        <w:t xml:space="preserve">Физическая культура, спорт и фитнес</w:t>
      </w:r>
      <w:r>
        <w:rPr>
          <w:rFonts w:ascii="Times New Roman" w:hAnsi="Times New Roman"/>
          <w:bCs/>
          <w:sz w:val="24"/>
          <w:szCs w:val="24"/>
        </w:rPr>
        <w:t xml:space="preserve">»</w:t>
      </w:r>
      <w:r>
        <w:rPr>
          <w:rFonts w:ascii="Times New Roman" w:hAnsi="Times New Roman"/>
          <w:bCs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</w:r>
      <w:r>
        <w:rPr>
          <w:rFonts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767"/>
        <w:ind w:left="360"/>
        <w:spacing w:after="0" w:line="360" w:lineRule="auto"/>
        <w:rPr>
          <w:rFonts w:ascii="Times New Roman" w:hAnsi="Times New Roman"/>
          <w:b/>
          <w:sz w:val="24"/>
          <w:szCs w:val="24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767"/>
        <w:numPr>
          <w:ilvl w:val="0"/>
          <w:numId w:val="2"/>
        </w:numPr>
        <w:ind w:firstLine="0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Общие положения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Методическое пособие по выпо</w:t>
      </w:r>
      <w:r>
        <w:rPr>
          <w:rFonts w:ascii="Times New Roman" w:hAnsi="Times New Roman"/>
          <w:sz w:val="28"/>
          <w:szCs w:val="28"/>
          <w:lang w:eastAsia="ru-RU"/>
        </w:rPr>
        <w:t xml:space="preserve">лнению отчётов по практикам Образовательного частного учреждения высшего образования «Московская международная академия» (далее – ОЧУ ВО ММА или Академия) разработано в соответствии с Законами Российской Федерации «Об образовании в РФ», приказом Минобрнаук</w:t>
      </w:r>
      <w:r>
        <w:rPr>
          <w:rFonts w:ascii="Times New Roman" w:hAnsi="Times New Roman"/>
          <w:sz w:val="28"/>
          <w:szCs w:val="28"/>
          <w:lang w:eastAsia="ru-RU"/>
        </w:rPr>
        <w:t xml:space="preserve">и России от №636 «Об утверждении Порядка проведения государственной итоговой аттестации по образовательным программам высшего образования - программам бакалавриата, программам специалитета и программам магистратуры», приказом Минобрнауки России №1383 «Об у</w:t>
      </w:r>
      <w:r>
        <w:rPr>
          <w:rFonts w:ascii="Times New Roman" w:hAnsi="Times New Roman"/>
          <w:sz w:val="28"/>
          <w:szCs w:val="28"/>
          <w:lang w:eastAsia="ru-RU"/>
        </w:rPr>
        <w:t xml:space="preserve">тверждении Положения о практике обучающихся, осваивающих основные профессиональные образовательные программы высшего образования», Трудовым кодексом Российской Федерации, и другими нормативными правовыми актами, регулирующими отношения в сфере образования.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Прохождение практик студентами Академии является составной частью основной образовательной программы высшего образования.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Цели и объёмы практик определяются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 ООП, </w:t>
      </w:r>
      <w:r>
        <w:rPr>
          <w:rFonts w:ascii="Times New Roman" w:hAnsi="Times New Roman"/>
          <w:sz w:val="28"/>
          <w:szCs w:val="28"/>
          <w:lang w:eastAsia="ru-RU"/>
        </w:rPr>
        <w:t xml:space="preserve">РПП и соответствуют</w:t>
      </w:r>
      <w:r>
        <w:rPr>
          <w:rFonts w:ascii="Times New Roman" w:hAnsi="Times New Roman"/>
          <w:sz w:val="28"/>
          <w:szCs w:val="28"/>
          <w:lang w:eastAsia="ru-RU"/>
        </w:rPr>
        <w:t xml:space="preserve"> соответствующим федеральным государственным образовательным стандартам по направлени</w:t>
      </w:r>
      <w:r>
        <w:rPr>
          <w:rFonts w:ascii="Times New Roman" w:hAnsi="Times New Roman"/>
          <w:sz w:val="28"/>
          <w:szCs w:val="28"/>
          <w:lang w:eastAsia="ru-RU"/>
        </w:rPr>
        <w:t xml:space="preserve">ю</w:t>
      </w:r>
      <w:r>
        <w:rPr>
          <w:rFonts w:ascii="Times New Roman" w:hAnsi="Times New Roman"/>
          <w:sz w:val="28"/>
          <w:szCs w:val="28"/>
          <w:lang w:eastAsia="ru-RU"/>
        </w:rPr>
        <w:t xml:space="preserve"> подготовки высшего образования.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Отчёт по практике обучающиеся защищают по результатам ее прохождения в установленные календарным учебным графиком и даты расписания защит отчетов, которые утверждаются Деканатом.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Назначение и задачи </w:t>
      </w:r>
      <w:r>
        <w:rPr>
          <w:rFonts w:ascii="Times New Roman" w:hAnsi="Times New Roman"/>
          <w:b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(</w:t>
      </w:r>
      <w:r>
        <w:rPr>
          <w:rFonts w:ascii="Times New Roman" w:hAnsi="Times New Roman"/>
          <w:b/>
          <w:iCs/>
          <w:sz w:val="28"/>
          <w:szCs w:val="28"/>
        </w:rPr>
        <w:t xml:space="preserve">Педагогической практики</w:t>
      </w:r>
      <w:r>
        <w:rPr>
          <w:rFonts w:ascii="Times New Roman" w:hAnsi="Times New Roman"/>
          <w:b/>
          <w:iCs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89"/>
        <w:contextualSpacing/>
        <w:ind w:firstLine="709"/>
        <w:jc w:val="both"/>
        <w:spacing w:after="0" w:line="240" w:lineRule="auto"/>
        <w:rPr>
          <w:rStyle w:val="796"/>
          <w:rFonts w:eastAsia="Calibri"/>
          <w:i w:val="0"/>
          <w:sz w:val="28"/>
          <w:szCs w:val="28"/>
        </w:rPr>
      </w:pPr>
      <w:r>
        <w:rPr>
          <w:rStyle w:val="796"/>
          <w:rFonts w:eastAsia="Calibri"/>
          <w:i w:val="0"/>
          <w:sz w:val="28"/>
          <w:szCs w:val="28"/>
        </w:rPr>
        <w:t xml:space="preserve">Цель:</w:t>
      </w:r>
      <w:r>
        <w:rPr>
          <w:rStyle w:val="796"/>
          <w:rFonts w:eastAsia="Calibri"/>
          <w:i w:val="0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i/>
          <w:sz w:val="28"/>
          <w:szCs w:val="28"/>
          <w:vertAlign w:val="superscript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содействие становлению профессиональной компетентности будущего педагога, готовности к профессиональной деятельности в соответствии с нормативно-правовыми актами сферы образования, готовности реализовывать образовательные программы по </w:t>
      </w:r>
      <w:r>
        <w:rPr>
          <w:rFonts w:ascii="Times New Roman" w:hAnsi="Times New Roman"/>
          <w:sz w:val="28"/>
          <w:szCs w:val="28"/>
          <w:lang w:eastAsia="ru-RU"/>
        </w:rPr>
        <w:t xml:space="preserve">физической культуре и спорту</w:t>
      </w:r>
      <w:r>
        <w:rPr>
          <w:rFonts w:ascii="Times New Roman" w:hAnsi="Times New Roman"/>
          <w:sz w:val="28"/>
          <w:szCs w:val="28"/>
          <w:lang w:eastAsia="ru-RU"/>
        </w:rPr>
        <w:t xml:space="preserve"> в соответствии с требованиями образовательных стандартов, способности использовать современные методы и технологии обучения и диагностики. </w:t>
      </w:r>
      <w:r>
        <w:rPr>
          <w:rStyle w:val="795"/>
          <w:rFonts w:ascii="Times New Roman" w:hAnsi="Times New Roman"/>
          <w:sz w:val="28"/>
          <w:szCs w:val="28"/>
        </w:rPr>
        <w:t xml:space="preserve">Педагогическая практика </w:t>
      </w:r>
      <w:r>
        <w:rPr>
          <w:rFonts w:ascii="Times New Roman" w:hAnsi="Times New Roman"/>
          <w:sz w:val="28"/>
          <w:szCs w:val="28"/>
        </w:rPr>
        <w:t xml:space="preserve">проводится в соответствии с требованиям Федерального государственного образовательного стандарта высшего образования (ФГОС ВО) по направлению подготовки </w:t>
      </w:r>
      <w:r>
        <w:rPr>
          <w:rFonts w:ascii="Times New Roman" w:hAnsi="Times New Roman"/>
          <w:bCs/>
          <w:sz w:val="28"/>
          <w:szCs w:val="28"/>
        </w:rPr>
        <w:t xml:space="preserve">44.03.01 «Педагогическое образование», направленность «</w:t>
      </w:r>
      <w:r>
        <w:rPr>
          <w:rFonts w:ascii="Times New Roman" w:hAnsi="Times New Roman"/>
          <w:bCs/>
          <w:sz w:val="28"/>
          <w:szCs w:val="28"/>
        </w:rPr>
        <w:t xml:space="preserve">Физическая культура, спорт и фитнес</w:t>
      </w:r>
      <w:r>
        <w:rPr>
          <w:rFonts w:ascii="Times New Roman" w:hAnsi="Times New Roman"/>
          <w:bCs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 xml:space="preserve">утвержденного </w:t>
      </w:r>
      <w:r>
        <w:rPr>
          <w:rFonts w:ascii="Times New Roman" w:hAnsi="Times New Roman"/>
          <w:bCs/>
          <w:sz w:val="28"/>
          <w:szCs w:val="28"/>
        </w:rPr>
        <w:t xml:space="preserve">22.02.2018 № 121 </w:t>
      </w:r>
      <w:r>
        <w:rPr>
          <w:rFonts w:ascii="Times New Roman" w:hAnsi="Times New Roman"/>
          <w:sz w:val="28"/>
          <w:szCs w:val="28"/>
        </w:rPr>
        <w:t xml:space="preserve"> и основной образовательной программы высшего образования (ООП ВО) по направлению подготовки </w:t>
      </w:r>
      <w:r>
        <w:rPr>
          <w:rFonts w:ascii="Times New Roman" w:hAnsi="Times New Roman"/>
          <w:bCs/>
          <w:sz w:val="28"/>
          <w:szCs w:val="28"/>
        </w:rPr>
        <w:t xml:space="preserve">44.03.01 «Педагогическое образование»</w:t>
      </w:r>
      <w:r>
        <w:rPr>
          <w:rFonts w:ascii="Times New Roman" w:hAnsi="Times New Roman"/>
          <w:sz w:val="28"/>
          <w:szCs w:val="28"/>
        </w:rPr>
        <w:t xml:space="preserve">, направленность </w:t>
      </w:r>
      <w:r>
        <w:rPr>
          <w:rFonts w:ascii="Times New Roman" w:hAnsi="Times New Roman"/>
          <w:bCs/>
          <w:sz w:val="28"/>
          <w:szCs w:val="28"/>
        </w:rPr>
        <w:t xml:space="preserve">«</w:t>
      </w:r>
      <w:r>
        <w:rPr>
          <w:rFonts w:ascii="Times New Roman" w:hAnsi="Times New Roman"/>
          <w:bCs/>
          <w:sz w:val="28"/>
          <w:szCs w:val="28"/>
        </w:rPr>
        <w:t xml:space="preserve">Физическая культура, спорт и фитнес</w:t>
      </w:r>
      <w:r>
        <w:rPr>
          <w:rFonts w:ascii="Times New Roman" w:hAnsi="Times New Roman"/>
          <w:bCs/>
          <w:sz w:val="28"/>
          <w:szCs w:val="28"/>
        </w:rPr>
        <w:t xml:space="preserve">»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разработанной в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Московской международной академии.</w:t>
      </w:r>
      <w:r>
        <w:rPr>
          <w:rFonts w:ascii="Times New Roman" w:hAnsi="Times New Roman"/>
          <w:b/>
          <w:i/>
          <w:sz w:val="28"/>
          <w:szCs w:val="28"/>
          <w:vertAlign w:val="superscript"/>
          <w:lang w:eastAsia="ru-RU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Задачи:</w:t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/>
      <w:bookmarkStart w:id="0" w:name="bookmark10"/>
      <w:r>
        <w:rPr>
          <w:rFonts w:ascii="Times New Roman" w:hAnsi="Times New Roman"/>
          <w:sz w:val="28"/>
          <w:szCs w:val="28"/>
          <w:lang w:eastAsia="ru-RU"/>
        </w:rPr>
        <w:t xml:space="preserve">- формирование способности организовывать совместную и индивидуальную учебную и воспитательную деятельность обучающихся в </w:t>
      </w:r>
      <w:r>
        <w:rPr>
          <w:rFonts w:ascii="Times New Roman" w:hAnsi="Times New Roman"/>
          <w:sz w:val="28"/>
          <w:szCs w:val="28"/>
          <w:lang w:eastAsia="ru-RU"/>
        </w:rPr>
        <w:t xml:space="preserve">соответствии с требованиями федеральных государственных образовательных стандартов;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формирование способности осуществлять контроль и оценку формирования результатов образования обучающихся, выявлять и корректировать трудности в обучении;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совершенствование способности использовать психолого-педагогические технологии в профессиональной деятельности, необходимые для индивидуализации обучения, развития, воспитания;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совершенствование способности взаимодействовать с участниками образовательных отношений в рамках реализации образовательных программ;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совершенствование способности формировать развивающую образовательную среду для достижения личностных, предметных и метапредметных результатов обучения средствами преподаваемых учебных предметов.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Задачи профессиональной деятельности выпускника</w:t>
      </w:r>
      <w:bookmarkEnd w:id="0"/>
      <w:r/>
      <w:r>
        <w:rPr>
          <w:rFonts w:ascii="Times New Roman" w:hAnsi="Times New Roman"/>
          <w:b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Бакалавр по направлению подготовки 44.03.01 «Педагогическое образование» должен решать следующие профессиональные задачи в соответствии с видами профессиональной деятельности:</w:t>
      </w:r>
      <w:r>
        <w:rPr>
          <w:rFonts w:ascii="Times New Roman" w:hAnsi="Times New Roman"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Типы задач профессиональной деятельности: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педагогический;</w:t>
      </w:r>
      <w:r>
        <w:rPr>
          <w:rFonts w:ascii="Times New Roman" w:hAnsi="Times New Roman"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методический.</w:t>
      </w:r>
      <w:r>
        <w:rPr>
          <w:rFonts w:ascii="Times New Roman" w:hAnsi="Times New Roman"/>
          <w:sz w:val="28"/>
          <w:szCs w:val="28"/>
        </w:rPr>
      </w:r>
    </w:p>
    <w:p>
      <w:pPr>
        <w:pStyle w:val="791"/>
        <w:contextualSpacing/>
        <w:ind w:firstLine="709"/>
        <w:jc w:val="both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7"/>
        <w:ind w:left="0" w:firstLine="709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</w:t>
      </w:r>
      <w:r>
        <w:rPr>
          <w:rFonts w:ascii="Times New Roman" w:hAnsi="Times New Roman"/>
          <w:b/>
          <w:sz w:val="28"/>
          <w:szCs w:val="28"/>
        </w:rPr>
        <w:t xml:space="preserve">. Перечень планируемых результатов обучения при прохождении </w:t>
      </w:r>
      <w:r>
        <w:rPr>
          <w:rFonts w:ascii="Times New Roman" w:hAnsi="Times New Roman"/>
          <w:b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(</w:t>
      </w:r>
      <w:r>
        <w:rPr>
          <w:rFonts w:ascii="Times New Roman" w:hAnsi="Times New Roman"/>
          <w:b/>
          <w:iCs/>
          <w:sz w:val="28"/>
          <w:szCs w:val="28"/>
        </w:rPr>
        <w:t xml:space="preserve">Педагогической практики</w:t>
      </w:r>
      <w:r>
        <w:rPr>
          <w:rFonts w:ascii="Times New Roman" w:hAnsi="Times New Roman"/>
          <w:b/>
          <w:iCs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  <w:t xml:space="preserve">, соотнесенных с планируемыми результатами освоения образовательной программы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67"/>
        <w:ind w:left="0"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>
        <w:rPr>
          <w:rFonts w:ascii="Times New Roman" w:hAnsi="Times New Roman"/>
          <w:b/>
          <w:sz w:val="28"/>
          <w:szCs w:val="28"/>
          <w:highlight w:val="yellow"/>
        </w:rPr>
      </w:r>
      <w:r>
        <w:rPr>
          <w:rFonts w:ascii="Times New Roman" w:hAnsi="Times New Roman"/>
          <w:b/>
          <w:sz w:val="28"/>
          <w:szCs w:val="28"/>
          <w:highlight w:val="yellow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Процесс освоения  программы практики направлен на формирование у обучающихся</w:t>
      </w:r>
      <w:r>
        <w:rPr>
          <w:rFonts w:ascii="Times New Roman" w:hAnsi="Times New Roman"/>
          <w:bCs/>
          <w:iCs/>
          <w:sz w:val="28"/>
          <w:szCs w:val="28"/>
        </w:rPr>
        <w:t xml:space="preserve"> следующих компетенций: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ОПК-4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Способен осуществлять духовно-нравственное воспитание обучающихся на основе базовых национальных ценностей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ОПК-5 – способен осуществлять контроль и оценку формирования результатов образования обучающихся, выявлять и корректировать трудности в обучении;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ОПК-6 –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ОПК-7 –способен взаимодействовать с участниками образовательных отношений в рамках реализации образовательных программ;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ОПК-8 – способен осуществлять педагогическую деятельность на основе специальных научных знаний;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ПК-1 </w:t>
      </w:r>
      <w:r>
        <w:rPr>
          <w:rFonts w:ascii="Times New Roman" w:hAnsi="Times New Roman"/>
          <w:color w:val="000000"/>
          <w:sz w:val="28"/>
          <w:szCs w:val="28"/>
        </w:rPr>
        <w:t xml:space="preserve">Способен осуществлять педагогическую деятельность по проектированию и реализации образовательного процесса в образовательных </w:t>
      </w:r>
      <w:r>
        <w:rPr>
          <w:rFonts w:ascii="Times New Roman" w:hAnsi="Times New Roman"/>
          <w:color w:val="000000"/>
          <w:sz w:val="28"/>
          <w:szCs w:val="28"/>
        </w:rPr>
        <w:t xml:space="preserve">организациях дошкольного, начального общего, основного общего, среднего общего образования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ПК-2 </w:t>
      </w:r>
      <w:r>
        <w:rPr>
          <w:rFonts w:ascii="Times New Roman" w:hAnsi="Times New Roman"/>
          <w:color w:val="000000"/>
          <w:sz w:val="28"/>
          <w:szCs w:val="28"/>
        </w:rPr>
        <w:t xml:space="preserve">Способен осуществлять педагогическую деятельность по проектированию и реализации основных общеобразовательных программ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ПК-3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Способен осуществлять преподавание по дополнительным общеобразовательным программам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ПК-4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Способен осуществлять организационно-методическое обеспечение реализации дополнительных общеобразовательных программ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9528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9"/>
        <w:gridCol w:w="2710"/>
        <w:gridCol w:w="4479"/>
      </w:tblGrid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Компетенция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  <w:p>
            <w:pPr>
              <w:contextualSpacing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(код и наименование)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Индикаторы компетенций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(код и наименование)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Планируемые результаты обучения по дисциплине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ОПК-4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способность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осуществлять духовно-нравственное воспитание обучающихся на основе базовых национальных ценностей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ОПК-4.1. Демонстрирует знание духовно-нравственных ценностей личности и модели нравственного поведения в профессиональной деятельности.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ОПК-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4.2. Демонстрирует способность к формированию у обучающихся гражданской позиции, толерантности и навыков поведения в изменяющейся поликультурной среде, способности к труду и жизни в условиях современного мира, культуры здорового и безопасного образа жизни.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духовно-нравственные ценности личности и модели нравственного поведения в профессиональной деятельности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формировать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 у обучающихся гражданскую позицию, толерантность и навыки поведения в изменяющейся поликультурной среде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-навыками формирования готовности  обучающегося к профессиональной деятельности 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 в условиях современного мира;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-навыками развития культуры здорового и безопасного образа жизни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ОПК-5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способность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осуществлять контроль и оценку формирования результатов образования обучающихся, выявлять и корректировать трудности в обучении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ОПК-5.1. Осуществляет выбор содержания, методов, приемов организации контроля и оценки, в том числе ИКТ, в соответствии с установленными требованиями к образовательным результатам обучающихся.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ОПК-5.2. Обеспечивает объективность и достоверность оценки образовательных 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результатов обучающихся.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ОПК-5.3. 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Выявляет и корректирует трудности в обучении,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 разрабатывает предложения по совершенствованию образовательного процесса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технологию выбора содержания, методов, приемов организации контроля и оценки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объективно оценивать и обосновывать 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оценки образовательных результатов обучающихся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навыками выявления и коррекции сложностей в обучении;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навыками разработки предложений по эффективности 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образовательного процесса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ОПК-6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способность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обучающихся с особыми образовательными потребностями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ОПК-6.1. Осуществляет отбор и применяет психолого-педагогические технологии (в том числе инклюзивные) с учетом различного контингента обучающихся.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ОПК-6.2. Применяет специальные технологии и методы, позволяющие проводить коррекционно-развивающую работу, формировать систему регуляции поведения и деятельности обучающихся.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ОПК-6.3.  Проектирует индивидуальные образовательные маршруты в соответствии с образовательными потребностями детей и особенностями их развития.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методику выбора и реализации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 психолого-педагогических технологий в зависимости от контингента обучающихся.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применять технологии коррекционного обучения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 для формирования системы  регуляции поведения и деятельности обучающихся.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технологией проектирования 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  <w:t xml:space="preserve">индивидуальных образовательных маршрутов обучающихся с особенностями развития.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ОПК-7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способность взаимодействовать с участниками образовательных отношений в рамках реализации образовательных программ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ОПК-7.1. взаимодействует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обучающегося.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  <w:t xml:space="preserve">ОПК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-7.2. Взаимодействует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  <w:t xml:space="preserve"> со специалистами в рамках психолого-медико-педагогического консилиума.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  <w:t xml:space="preserve">ОПК-7.3. Взаимодействует с представителями организаций образования, социальной и духовной сферы, СМИ, бизнес-сообществ и др.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-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нормативно-правовые акты в сфере образования;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-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возрастные особенности обучающихся.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-</w:t>
            </w:r>
            <w:r>
              <w:rPr>
                <w:rFonts w:ascii="Times New Roman" w:hAnsi="Times New Roman" w:eastAsia="Andale Sans UI" w:cs="Tahoma"/>
                <w:sz w:val="24"/>
                <w:szCs w:val="24"/>
                <w:lang w:bidi="en-US"/>
              </w:rPr>
              <w:t xml:space="preserve">родителями (законными представителями) обучающихся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навыками диалогового общения 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  <w:t xml:space="preserve">с представителями организаций образования, социальной и духовной 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bidi="en-US"/>
              </w:rPr>
              <w:t xml:space="preserve">сферы, СМИ, бизнес-сообществ и др.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способность осуществлять педагогическую деятельность на основе специальных научных знаний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ОПК-8.1. Применяет методы анализа педагогической ситуации, профессиональной рефлексии на основе специальных научных знаний.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ОПК-8.2. Проектирует и осуществляет учебно-воспитательный процесс с опорой на знания основных закономерностей возрастного развития когнитивной и личностной сфер обучающихся, научно-обоснованных закономерностей организации образовательного процесса.</w:t>
            </w:r>
            <w:r>
              <w:rPr>
                <w:rFonts w:ascii="Times New Roman" w:hAnsi="Times New Roman" w:eastAsia="Andale Sans UI"/>
                <w:sz w:val="24"/>
                <w:szCs w:val="24"/>
                <w:lang w:bidi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границы применения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 специальных научных знаний при разработке педагогической ситуации, механизмы  профессиональной рефлексии;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основные закономерности возрастного развития когнитивной и личностной сфер обучающихся;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pP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научные основы закономерностей организации образовательного процесса.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применять 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методы анализа педагогической ситуации профессиональной рефлексии.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навыками проектирования 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учебно-воспитательного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процесса с учетом закономерностей </w:t>
            </w:r>
            <w:r>
              <w:rPr>
                <w:rFonts w:ascii="Times New Roman" w:hAnsi="Times New Roman" w:eastAsia="Andale Sans UI"/>
                <w:spacing w:val="2"/>
                <w:sz w:val="24"/>
                <w:szCs w:val="24"/>
                <w:shd w:val="clear" w:color="auto" w:fill="ffffff"/>
                <w:lang w:eastAsia="ru-RU" w:bidi="en-US"/>
              </w:rPr>
              <w:t xml:space="preserve">возрастного развития обучающихся и организации образовательного процесса.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осуществлять педагогическую деятельность по проектированию и реализации образовательного процесса в образовательных организациях дошкольного, начального общего, основного общего,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среднего общего образования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ИПК-1.1.Знает, как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осуществлять обучение учебному предмету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ИПК-1.2.Умеет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осуществлять обучение учебному предмету на основе использования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 -1.3. Владеет навыками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осуществления обучения учебному предмету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обучение учебному предмету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осуществлять обучение учебному предмету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навыками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осуществления обучения учебному предмету на основе использования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Способен осуществлять педагогическую деятельность по проектированию и реализации основных общеобразовательных программ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-2.1.З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нает, как участвовать в проектировании предметной среды образовательной программы;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-2.2.У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меет участвовать в проектировании предметной среды образовательной программы;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spacing w:after="0" w:line="259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-2.3. 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ладеет навыками участия в проектировании предметной среды образовательной программы.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технологии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проектирования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предметной среды образовательной программы;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участвовать в проектировании предметной среды образовательной программы;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навыками участия в проектировании предметной среды образовательной программы.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ПК-3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Способен осуществлять преподавание по дополнительным общеобразовательным программам 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ИПК-3.1.З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нает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ИПК-3.2.У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меет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осуществлять деятельность, соответствующую дополнительной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общеобразовательной программе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 -3.3.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ладеет навыками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осуществления обучения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основные подходы и направления работы в области профессиональной ориентации, поддержки и сопровождения профессионального самоопределения при реализации дополнительных общеобразовательных программ соответствующей направленности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осуществлять деятельность, соответствующую дополнительной общеобразовательной программе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навыками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 xml:space="preserve">осуществления обучения на основе использования предметных методик и применения современных образовательных технологий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jc w:val="center"/>
        </w:trPr>
        <w:tc>
          <w:tcPr>
            <w:shd w:val="clear" w:color="auto" w:fill="auto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W w:w="21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Способен осуществлять организационно-методическое обеспечение реализации дополнительных общеобразовательных программ</w:t>
            </w: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723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-4.1.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методологические основы организации образовательного процесса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-4.2.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находить, анализировать возможности использования и использовать источники необходимой для планирования профессиональной информации (включая методическую литературу, электронные образовательные ресурсы)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ИПК-4.3. Владеет навыками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планирования и организации совместно с методистом методической работы образовательных программ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bottom w:val="single" w:color="auto" w:sz="4" w:space="0"/>
              <w:right w:val="single" w:color="000000" w:sz="8" w:space="0"/>
            </w:tcBorders>
            <w:tcMar>
              <w:left w:w="10" w:type="dxa"/>
              <w:top w:w="0" w:type="dxa"/>
              <w:right w:w="10" w:type="dxa"/>
              <w:bottom w:w="0" w:type="dxa"/>
            </w:tcMar>
            <w:tcW w:w="462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Знать: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методологические основы организации образовательного процесса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Уметь: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находить, анализировать возможности использования и использовать источники необходимой для планирования профессиональной информации (включая методическую литературу, электронные образовательные ресурсы)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Владеть:</w:t>
            </w: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  <w:p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навыками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планирования и организации совместно с методистом методической работы образовательных программ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  <w:sectPr>
          <w:headerReference w:type="first" r:id="rId9"/>
          <w:footnotePr/>
          <w:endnotePr/>
          <w:type w:val="nextPage"/>
          <w:pgSz w:w="11906" w:h="16838" w:orient="portrait"/>
          <w:pgMar w:top="1134" w:right="850" w:bottom="1134" w:left="1701" w:header="720" w:footer="720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contextualSpacing/>
        <w:ind w:left="360" w:hanging="360"/>
        <w:jc w:val="center"/>
        <w:keepNext/>
        <w:spacing w:after="0" w:line="240" w:lineRule="auto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  <w:t xml:space="preserve">4. Состав документов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left="360" w:hanging="360"/>
        <w:jc w:val="center"/>
        <w:keepNext/>
        <w:spacing w:after="0" w:line="240" w:lineRule="auto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Отчет по практике является основным документом обучающегося, отражающим выполненную им работу во время практики, приобретенные им компетенции.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Отчет по практике должен содержать: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numPr>
          <w:ilvl w:val="0"/>
          <w:numId w:val="38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Титульный лист (Приложение 1)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Содержание.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Введение.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Основная часть.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Заключение.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Список использованных источников (Список литературы).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8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Приложения.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полный пакет документов по оформлению практики студента входят также: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numPr>
          <w:ilvl w:val="0"/>
          <w:numId w:val="3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Договор на практику (с профильным предприятием, если практика проходит вне структурных подразделений ОЧУ ВО ММА).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numPr>
          <w:ilvl w:val="0"/>
          <w:numId w:val="3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Направление на практику. (Приложение 2)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numPr>
          <w:ilvl w:val="0"/>
          <w:numId w:val="39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Индивидуальное задание и рабочий график-план практиканта. (Приложение 3)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pStyle w:val="767"/>
        <w:numPr>
          <w:ilvl w:val="0"/>
          <w:numId w:val="3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Заверенный отзыв руководителя практики от профильной организации, подписанный также руководителем практики от ОЧУ ВО ММА. (Приложение 4)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left="360" w:hanging="360"/>
        <w:jc w:val="center"/>
        <w:keepNext/>
        <w:spacing w:after="0" w:line="240" w:lineRule="auto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  <w:t xml:space="preserve">5. Требования к оформлению отчета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Объем отчета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должен составлять </w:t>
      </w:r>
      <w:r>
        <w:rPr>
          <w:rFonts w:ascii="Times New Roman" w:hAnsi="Times New Roman"/>
          <w:sz w:val="28"/>
          <w:szCs w:val="28"/>
          <w:lang w:eastAsia="ru-RU"/>
        </w:rPr>
        <w:t xml:space="preserve">10</w:t>
      </w:r>
      <w:r>
        <w:rPr>
          <w:rFonts w:ascii="Times New Roman" w:hAnsi="Times New Roman"/>
          <w:sz w:val="28"/>
          <w:szCs w:val="28"/>
          <w:lang w:eastAsia="ru-RU"/>
        </w:rPr>
        <w:t xml:space="preserve">-15</w:t>
      </w:r>
      <w:r>
        <w:rPr>
          <w:rFonts w:ascii="Times New Roman" w:hAnsi="Times New Roman"/>
          <w:sz w:val="28"/>
          <w:szCs w:val="28"/>
          <w:lang w:eastAsia="ru-RU"/>
        </w:rPr>
        <w:t xml:space="preserve"> листов А4 (без приложений).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Шрифт основного текста – Times New Roman, размер – 14, обычный, междустрочный интервал – полуторный.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Шрифт заголовка 1 уровня – Times New Roman, размер – 16, жирный, междустрочный интервал – полуторный.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Шрифт заголовка 2 уровня – Times New Roman, размер – 14, жирный, междустрочный интервал – полуторный.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Поля: верхнее и нижнее – 2 см, левое – 3 см, правое – 1,5 см. Абзацный отступ – 1,25 см. </w:t>
      </w:r>
      <w:r>
        <w:rPr>
          <w:rFonts w:ascii="Times New Roman" w:hAnsi="Times New Roman"/>
          <w:sz w:val="28"/>
          <w:szCs w:val="28"/>
          <w:lang w:eastAsia="ru-RU"/>
        </w:rPr>
        <w:t xml:space="preserve">Межабзацный</w:t>
      </w:r>
      <w:r>
        <w:rPr>
          <w:rFonts w:ascii="Times New Roman" w:hAnsi="Times New Roman"/>
          <w:sz w:val="28"/>
          <w:szCs w:val="28"/>
          <w:lang w:eastAsia="ru-RU"/>
        </w:rPr>
        <w:t xml:space="preserve"> отступ отсутствует.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Выравнивание основного текста – по ширине, заголовки – по центру. Подписи к рисункам, таблицам и схемам – по центру.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Таблицы, схемы и рисунки располагаются по горизонтали по центру без обтекания текстом и нумеруются раздельно сквозной нумерацией по всему документу.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Текст в таблицах и рисунках и подписи к ним оформляются шрифтом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Times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New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Roman</w:t>
      </w:r>
      <w:r>
        <w:rPr>
          <w:rFonts w:ascii="Times New Roman" w:hAnsi="Times New Roman"/>
          <w:sz w:val="28"/>
          <w:szCs w:val="28"/>
          <w:lang w:eastAsia="ru-RU"/>
        </w:rPr>
        <w:t xml:space="preserve"> 14 пунктов, обычный, одинарный междустрочный интервал.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Содержание располагается на второй странице отчёта, сразу после титульного листа.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Нумерация страниц ставится в нижнем колонтитуле странице, со второй страницы (первая страница – титульный лис</w:t>
      </w:r>
      <w:r>
        <w:rPr>
          <w:rFonts w:ascii="Times New Roman" w:hAnsi="Times New Roman"/>
          <w:sz w:val="28"/>
          <w:szCs w:val="28"/>
          <w:lang w:eastAsia="ru-RU"/>
        </w:rPr>
        <w:t xml:space="preserve">т, на нём номер не ставится, но страница в нумерации учитывается). Шрифт номера страницы – Times New Roman, размер – 14, обычный, междустрочный интервал – одинарный. Выравнивание – по центру. После номера страницы в колонтитуле не должно быть пустых строк.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Количество приложений не ограничивается и в указанный объем не включается (не засчитывается).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Перечисления в тексте выполняются нумерованными многоуровневыми списками, использование знаков «минус», </w:t>
      </w:r>
      <w:r>
        <w:rPr>
          <w:rFonts w:ascii="Times New Roman" w:hAnsi="Times New Roman"/>
          <w:sz w:val="28"/>
          <w:szCs w:val="28"/>
          <w:lang w:eastAsia="ru-RU"/>
        </w:rPr>
        <w:t xml:space="preserve">буллетов</w:t>
      </w:r>
      <w:r>
        <w:rPr>
          <w:rFonts w:ascii="Times New Roman" w:hAnsi="Times New Roman"/>
          <w:sz w:val="28"/>
          <w:szCs w:val="28"/>
          <w:lang w:eastAsia="ru-RU"/>
        </w:rPr>
        <w:t xml:space="preserve">, галочек и проч. не допускается.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Формулы в тексте оформляются на отдельной строке, размер шрифта формулы должен совпадать с размером основного текста. Выравнивание формулы производится по центру, с правой стороны от формулы ставится её номер. Нумерация формул сквозная для всего отчёта.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Пример: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0"/>
          <w:sz w:val="28"/>
          <w:szCs w:val="28"/>
          <w:lang w:eastAsia="ru-RU"/>
        </w:rPr>
        <w:object w:dxaOrig="1480" w:dyaOrig="360">
          <v:shapetype type="#_x0000_t75" o:spt="75" coordsize="21600,21600" o:preferrelative="t" path="m@4@5l@4@11@9@11@9@5xe"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</v:shapetype>
          <v:shape id="_x0000_i1" o:spid="_x0000_s1" type="#_x0000_t75" style="width:74.40pt;height:18.40pt;mso-wrap-distance-left:0.00pt;mso-wrap-distance-top:0.00pt;mso-wrap-distance-right:0.00pt;mso-wrap-distance-bottom:0.00pt;" filled="f" stroked="f">
            <v:path textboxrect="0,0,0,0"/>
            <v:imagedata r:id="rId12" o:title=""/>
          </v:shape>
          <o:OLEObject DrawAspect="Content" r:id="rId13" ObjectID="_1525041" ProgID="Equation.3" ShapeID="_x0000_i1" Type="Embed"/>
        </w:objec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  <w:t xml:space="preserve">(1)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Набор формул производится в редакторе формул MS Word 2007 и старше, допустимо использование </w:t>
      </w:r>
      <w:r>
        <w:rPr>
          <w:rFonts w:ascii="Times New Roman" w:hAnsi="Times New Roman"/>
          <w:sz w:val="28"/>
          <w:szCs w:val="28"/>
          <w:lang w:eastAsia="ru-RU"/>
        </w:rPr>
        <w:t xml:space="preserve">Equation</w:t>
      </w:r>
      <w:r>
        <w:rPr>
          <w:rFonts w:ascii="Times New Roman" w:hAnsi="Times New Roman"/>
          <w:sz w:val="28"/>
          <w:szCs w:val="28"/>
          <w:lang w:eastAsia="ru-RU"/>
        </w:rPr>
        <w:t xml:space="preserve"> 3.0 и </w:t>
      </w:r>
      <w:r>
        <w:rPr>
          <w:rFonts w:ascii="Times New Roman" w:hAnsi="Times New Roman"/>
          <w:sz w:val="28"/>
          <w:szCs w:val="28"/>
          <w:lang w:eastAsia="ru-RU"/>
        </w:rPr>
        <w:t xml:space="preserve">MathType</w:t>
      </w:r>
      <w:r>
        <w:rPr>
          <w:rFonts w:ascii="Times New Roman" w:hAnsi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тексте отчета по практике не допускаются произвольные сокращения слов, кроме общепринятых. Произвольное сокращение допускаетс</w:t>
      </w:r>
      <w:r>
        <w:rPr>
          <w:rFonts w:ascii="Times New Roman" w:hAnsi="Times New Roman"/>
          <w:sz w:val="28"/>
          <w:szCs w:val="28"/>
          <w:lang w:eastAsia="ru-RU"/>
        </w:rPr>
        <w:t xml:space="preserve">я только при условии частого повторения с обязательным указанием при первом сокращении полного названия. Общепринятыми сокращениями считаются такие слова и словосочетания как, например: и др. - и другие; и т.д. - и так далее; в т.ч. - в том числе и другие.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Принятые сокращения единиц измерения: − массы: грамм - г, килограмм - кг, центнер - ц, тонна - т; − времени: секунда - с, минута - мин, час - ч; − длины</w:t>
      </w:r>
      <w:r>
        <w:rPr>
          <w:rFonts w:ascii="Times New Roman" w:hAnsi="Times New Roman"/>
          <w:sz w:val="28"/>
          <w:szCs w:val="28"/>
          <w:lang w:eastAsia="ru-RU"/>
        </w:rPr>
        <w:t xml:space="preserve">: километр – км, сантиметр – см, метр – м; − площади: кв. километр – кв. км, кв. метр – кв. м, гектар – га; − объема: куб. метр – куб. м, литр – л, − денежные единицы измерения: руб. коп., тыс. руб., млн руб., млрд руб. − затрат труда: чел. – ч, чел.-день.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Если в тексте цифровых показателей нет; то сокращения не допускаются, например, если во фразе должно быть слово «килограмм» без цифр, то оно пишется без сокращения. Число при какой-</w:t>
      </w:r>
      <w:r>
        <w:rPr>
          <w:rFonts w:ascii="Times New Roman" w:hAnsi="Times New Roman"/>
          <w:sz w:val="28"/>
          <w:szCs w:val="28"/>
          <w:lang w:eastAsia="ru-RU"/>
        </w:rPr>
        <w:t xml:space="preserve">либо единице измерения следует писать только цифрами, например: вес 69 кг. Цена 1000 руб. Числа до десяти, если они не относятся к единицам измерения, рекомендуется писать словами, а свыше десяти - цифрами, например: восемь сортов, 200 наименований и т. д.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Порядковые номера заседаний конгрессов, съездов, конференций, кварталов года обозначаются римскими цифрами, наименование месяцев года в тексте отчета пишут словами.</w:t>
      </w:r>
      <w:bookmarkStart w:id="1" w:name="_Toc530669142"/>
      <w:r/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left="357" w:hanging="35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left="357" w:hanging="35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. Общие требования к содержанию отчета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left="357" w:hanging="357"/>
        <w:jc w:val="center"/>
        <w:spacing w:after="0" w:line="240" w:lineRule="auto"/>
        <w:widowControl w:val="off"/>
        <w:rPr>
          <w:rFonts w:ascii="Times New Roman" w:hAnsi="Times New Roman"/>
          <w:b/>
          <w:sz w:val="28"/>
          <w:szCs w:val="28"/>
        </w:rPr>
        <w:outlineLvl w:val="0"/>
      </w:pPr>
      <w:r>
        <w:rPr>
          <w:rFonts w:ascii="Times New Roman" w:hAnsi="Times New Roman"/>
          <w:b/>
          <w:sz w:val="28"/>
          <w:szCs w:val="28"/>
        </w:rPr>
      </w:r>
      <w:bookmarkEnd w:id="1"/>
      <w:r>
        <w:rPr>
          <w:rFonts w:ascii="Times New Roman" w:hAnsi="Times New Roman"/>
          <w:b/>
          <w:sz w:val="28"/>
          <w:szCs w:val="28"/>
        </w:rPr>
      </w:r>
    </w:p>
    <w:p>
      <w:pPr>
        <w:pStyle w:val="783"/>
        <w:contextualSpacing/>
        <w:ind w:left="0" w:firstLine="0"/>
        <w:spacing w:before="0" w:after="0"/>
        <w:rPr>
          <w:iCs/>
          <w:szCs w:val="28"/>
        </w:rPr>
      </w:pPr>
      <w:r>
        <w:rPr>
          <w:bCs w:val="0"/>
          <w:szCs w:val="28"/>
        </w:rPr>
        <w:t xml:space="preserve">Структура и содержание </w:t>
      </w:r>
      <w:r>
        <w:rPr>
          <w:bCs w:val="0"/>
          <w:szCs w:val="28"/>
        </w:rPr>
        <w:t xml:space="preserve">Производственной практики</w:t>
      </w:r>
      <w:r>
        <w:rPr>
          <w:bCs w:val="0"/>
          <w:szCs w:val="28"/>
        </w:rPr>
        <w:t xml:space="preserve"> </w:t>
      </w:r>
      <w:r>
        <w:rPr>
          <w:iCs/>
          <w:szCs w:val="28"/>
        </w:rPr>
        <w:t xml:space="preserve">(</w:t>
      </w:r>
      <w:r>
        <w:rPr>
          <w:iCs/>
          <w:szCs w:val="28"/>
        </w:rPr>
        <w:t xml:space="preserve">Педагогической практики</w:t>
      </w:r>
      <w:r>
        <w:rPr>
          <w:iCs/>
          <w:szCs w:val="28"/>
        </w:rPr>
        <w:t xml:space="preserve">)</w:t>
      </w:r>
      <w:r>
        <w:rPr>
          <w:iCs/>
          <w:szCs w:val="28"/>
        </w:rPr>
      </w:r>
    </w:p>
    <w:p>
      <w:pPr>
        <w:pStyle w:val="783"/>
        <w:ind w:left="0" w:firstLine="0"/>
        <w:spacing w:before="0" w:after="0"/>
        <w:rPr>
          <w:bCs w:val="0"/>
          <w:sz w:val="24"/>
        </w:rPr>
      </w:pPr>
      <w:r>
        <w:rPr>
          <w:bCs w:val="0"/>
          <w:sz w:val="24"/>
        </w:rPr>
      </w:r>
      <w:r>
        <w:rPr>
          <w:bCs w:val="0"/>
          <w:sz w:val="24"/>
        </w:rPr>
      </w:r>
    </w:p>
    <w:tbl>
      <w:tblPr>
        <w:tblStyle w:val="766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1"/>
      </w:tblGrid>
      <w:tr>
        <w:trPr/>
        <w:tc>
          <w:tcPr>
            <w:tcW w:w="67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№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57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Разделы (этапы) практики</w:t>
            </w: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Компетенции</w:t>
            </w:r>
            <w:r>
              <w:rPr>
                <w:rFonts w:ascii="Times New Roman" w:hAnsi="Times New Roman"/>
                <w:b/>
                <w:bCs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1</w:t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7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целей и задач практики, получение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материалов для прохождения практики.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о порядке прохождения  практики; инструктаж по охране труда, технике безопасности, пожарной безопасности.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jc w:val="both"/>
              <w:tabs>
                <w:tab w:val="left" w:pos="1908" w:leader="none"/>
                <w:tab w:val="left" w:pos="2206" w:leader="none"/>
                <w:tab w:val="left" w:pos="2416" w:leader="none"/>
                <w:tab w:val="left" w:pos="2698" w:leader="none"/>
                <w:tab w:val="left" w:pos="2858" w:leader="none"/>
                <w:tab w:val="left" w:pos="3554" w:leader="none"/>
                <w:tab w:val="left" w:pos="3766" w:leader="none"/>
                <w:tab w:val="left" w:pos="3963" w:leader="none"/>
                <w:tab w:val="left" w:pos="4409" w:leader="none"/>
                <w:tab w:val="left" w:pos="4457" w:leader="none"/>
                <w:tab w:val="left" w:pos="5389" w:leader="none"/>
                <w:tab w:val="left" w:pos="5562" w:leader="none"/>
                <w:tab w:val="left" w:pos="5816" w:leader="none"/>
                <w:tab w:val="left" w:pos="6545" w:leader="none"/>
                <w:tab w:val="left" w:pos="707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внутреннего трудового распорядка. Формирование представлений практикантов о специфике профессиональной деятельности педагога.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ОПК-5;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ОПК-6;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2</w:t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705" w:type="dxa"/>
            <w:textDirection w:val="lrTb"/>
            <w:noWrap w:val="false"/>
          </w:tcPr>
          <w:p>
            <w:pPr>
              <w:pStyle w:val="784"/>
              <w:ind w:left="34"/>
              <w:spacing w:line="293" w:lineRule="exact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основной образовательной программы, по которой работает ДОУ.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ind w:left="34"/>
              <w:spacing w:line="293" w:lineRule="exact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и анализ планирования.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ind w:left="34"/>
              <w:spacing w:line="293" w:lineRule="exact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конспектов пробных занятий по различным видам деятельности детей дошкольного возраста в соответствии с программой.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ind w:left="34"/>
              <w:spacing w:line="293" w:lineRule="exact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пробных занятий по различным видам деятельности детей дошкольного возраста в соответствии с программой.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ind w:left="34"/>
              <w:spacing w:line="293" w:lineRule="exact"/>
              <w:tabs>
                <w:tab w:val="left" w:pos="2784" w:leader="none"/>
                <w:tab w:val="left" w:pos="6184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Самоанализ проведенных занятий.</w:t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ПК-1;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ПК-4;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3</w:t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7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Индивидуальное задание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ПК-1;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ПК-4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4</w:t>
            </w: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5705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отчета по практике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19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</w:r>
      <w:r>
        <w:rPr>
          <w:rFonts w:ascii="Times New Roman" w:hAnsi="Times New Roman"/>
          <w:bCs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отчете дается описание конкретных видов работы, результатов наблюдения, опросов, эмпирических исследований и др. В отчете структурно должны быть выделены следующие разделы: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Введение,</w:t>
      </w:r>
      <w:r>
        <w:rPr>
          <w:rFonts w:ascii="Times New Roman" w:hAnsi="Times New Roman"/>
          <w:sz w:val="28"/>
          <w:szCs w:val="28"/>
        </w:rPr>
        <w:t xml:space="preserve"> в котором описываются цели, задачи, место</w:t>
      </w:r>
      <w:r>
        <w:rPr>
          <w:rFonts w:ascii="Times New Roman" w:hAnsi="Times New Roman"/>
          <w:sz w:val="28"/>
          <w:szCs w:val="28"/>
        </w:rPr>
        <w:t xml:space="preserve"> прохождения, виды деятельности.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Основное содержание отчета</w:t>
      </w:r>
      <w:r>
        <w:rPr>
          <w:rFonts w:ascii="Times New Roman" w:hAnsi="Times New Roman"/>
          <w:sz w:val="28"/>
          <w:szCs w:val="28"/>
        </w:rPr>
        <w:t xml:space="preserve"> содержит </w:t>
      </w:r>
      <w:r>
        <w:rPr>
          <w:rFonts w:ascii="Times New Roman" w:hAnsi="Times New Roman"/>
          <w:sz w:val="28"/>
          <w:szCs w:val="28"/>
        </w:rPr>
        <w:t xml:space="preserve">Анализ  основной образовательной программы, по которой работает ДОУ.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Изучение и анализ планирования.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Составление конспектов пробных занятий по различным видам деятельности детей дошкольного возраста в соответствии с программой.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Проведение пробных занятий по различным видам деятельности детей дошкольного возраста в соответствии с программой.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Самоанализ проведенных занятий.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</w:t>
      </w:r>
      <w:r>
        <w:rPr>
          <w:rFonts w:ascii="Times New Roman" w:hAnsi="Times New Roman"/>
          <w:i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которых не только обобщаются результаты исследования, но и отмечаются достоинства и недостатки  использованных методик, предлагаются варианты совершенствования данного вида практики.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Список использованных источников (Список литературы)</w:t>
      </w:r>
      <w:r>
        <w:rPr>
          <w:rFonts w:ascii="Times New Roman" w:hAnsi="Times New Roman"/>
          <w:i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Отчет по практике, заверенный руководителем по практике от организации, должен быть представлен руководителю по практике от Академии </w:t>
      </w:r>
      <w:r>
        <w:rPr>
          <w:rFonts w:ascii="Times New Roman" w:hAnsi="Times New Roman"/>
          <w:sz w:val="28"/>
          <w:szCs w:val="28"/>
          <w:lang w:eastAsia="ru-RU"/>
        </w:rPr>
        <w:t xml:space="preserve">в течение 10 дней</w:t>
      </w:r>
      <w:r>
        <w:rPr>
          <w:rFonts w:ascii="Times New Roman" w:hAnsi="Times New Roman"/>
          <w:sz w:val="28"/>
          <w:szCs w:val="28"/>
          <w:lang w:eastAsia="ru-RU"/>
        </w:rPr>
        <w:t xml:space="preserve"> после окончания практики.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Защита отчетов по практике проводится на факультете в присутствии Комиссии из профессорско-преподавательского состава (не менее двух человек).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 результатам защиты отчета по практике студент получает оценку по практике.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Студент, получивший неудовлетворительную оценку за практику, не допускается к экзаменационной сессии, а студент, получивший неудовлетворительную оценку за преддипломную практику, не допускается к итоговой государственной аттестации.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Список использованных источников формируется в порядке появления ссылок, оформляется согласно ГОСТ Р 7.0.5-2008.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7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Перечень учебной литературы и ресурсов сети «Интернет», необходимых для </w:t>
      </w:r>
      <w:r>
        <w:rPr>
          <w:rFonts w:ascii="Times New Roman" w:hAnsi="Times New Roman"/>
          <w:b/>
          <w:sz w:val="28"/>
          <w:szCs w:val="28"/>
        </w:rPr>
        <w:t xml:space="preserve">прохождения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iCs/>
          <w:sz w:val="28"/>
          <w:szCs w:val="28"/>
        </w:rPr>
        <w:t xml:space="preserve">(</w:t>
      </w:r>
      <w:r>
        <w:rPr>
          <w:rFonts w:ascii="Times New Roman" w:hAnsi="Times New Roman"/>
          <w:b/>
          <w:iCs/>
          <w:sz w:val="28"/>
          <w:szCs w:val="28"/>
        </w:rPr>
        <w:t xml:space="preserve">Педагогической практики</w:t>
      </w:r>
      <w:r>
        <w:rPr>
          <w:rFonts w:ascii="Times New Roman" w:hAnsi="Times New Roman"/>
          <w:b/>
          <w:iCs/>
          <w:sz w:val="28"/>
          <w:szCs w:val="28"/>
        </w:rPr>
        <w:t xml:space="preserve">)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363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Theme="minorHAnsi"/>
          <w:color w:val="000000" w:themeColor="text1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Для прохождения </w:t>
      </w:r>
      <w:r>
        <w:rPr>
          <w:rFonts w:ascii="Times New Roman" w:hAnsi="Times New Roman" w:eastAsiaTheme="minorHAnsi"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 w:eastAsiaTheme="minorHAnsi"/>
          <w:sz w:val="28"/>
          <w:szCs w:val="28"/>
        </w:rPr>
        <w:t xml:space="preserve"> используется следующее учебно-методическое обеспечение</w:t>
      </w:r>
      <w:r>
        <w:rPr>
          <w:rFonts w:ascii="Times New Roman" w:hAnsi="Times New Roman" w:eastAsiaTheme="minorHAnsi"/>
          <w:sz w:val="28"/>
          <w:szCs w:val="28"/>
        </w:rPr>
        <w:t xml:space="preserve">: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программа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 по направлению подготовки 44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.0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3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.01 «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Педагогическое образование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», методическое пособие по выполнению отчетов по 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  <w:t xml:space="preserve">производственной практике.</w:t>
      </w:r>
      <w:r>
        <w:rPr>
          <w:rFonts w:ascii="Times New Roman" w:hAnsi="Times New Roman" w:eastAsiaTheme="minorHAnsi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</w:rPr>
        <w:t xml:space="preserve">Для обеспечения самостоятельной работы студентов в период практики предоставляется возможн</w:t>
      </w:r>
      <w:r>
        <w:rPr>
          <w:rFonts w:ascii="Times New Roman" w:hAnsi="Times New Roman" w:eastAsiaTheme="minorHAnsi"/>
          <w:sz w:val="28"/>
          <w:szCs w:val="28"/>
        </w:rPr>
        <w:t xml:space="preserve">ость: ознакомиться и изучить нормативно-правовые акты (электронный ресурс), учебно-методические материалы и практические рекомендации по организации и проведению практики; доступ к информационным ресурсам (статистические базы данных, электронная библиотека</w:t>
      </w:r>
      <w:r>
        <w:rPr>
          <w:rFonts w:ascii="Times New Roman" w:hAnsi="Times New Roman" w:eastAsiaTheme="minorHAnsi"/>
          <w:color w:val="000000"/>
          <w:sz w:val="28"/>
          <w:szCs w:val="28"/>
        </w:rPr>
        <w:t xml:space="preserve"> </w:t>
      </w:r>
      <w:hyperlink r:id="rId14" w:tooltip="http://biblioclub.ru/" w:history="1">
        <w:r>
          <w:rPr>
            <w:rStyle w:val="772"/>
            <w:rFonts w:ascii="Times New Roman" w:hAnsi="Times New Roman" w:eastAsiaTheme="minorHAnsi"/>
            <w:sz w:val="28"/>
            <w:szCs w:val="28"/>
            <w:lang w:val="en-US"/>
          </w:rPr>
          <w:t xml:space="preserve">http</w:t>
        </w:r>
        <w:r>
          <w:rPr>
            <w:rStyle w:val="772"/>
            <w:rFonts w:ascii="Times New Roman" w:hAnsi="Times New Roman" w:eastAsiaTheme="minorHAnsi"/>
            <w:sz w:val="28"/>
            <w:szCs w:val="28"/>
          </w:rPr>
          <w:t xml:space="preserve">://</w:t>
        </w:r>
        <w:r>
          <w:rPr>
            <w:rStyle w:val="772"/>
            <w:rFonts w:ascii="Times New Roman" w:hAnsi="Times New Roman" w:eastAsiaTheme="minorHAnsi"/>
            <w:sz w:val="28"/>
            <w:szCs w:val="28"/>
            <w:lang w:val="en-US"/>
          </w:rPr>
          <w:t xml:space="preserve">biblioclub</w:t>
        </w:r>
        <w:r>
          <w:rPr>
            <w:rStyle w:val="772"/>
            <w:rFonts w:ascii="Times New Roman" w:hAnsi="Times New Roman" w:eastAsiaTheme="minorHAnsi"/>
            <w:sz w:val="28"/>
            <w:szCs w:val="28"/>
          </w:rPr>
          <w:t xml:space="preserve">.</w:t>
        </w:r>
        <w:r>
          <w:rPr>
            <w:rStyle w:val="772"/>
            <w:rFonts w:ascii="Times New Roman" w:hAnsi="Times New Roman" w:eastAsiaTheme="minorHAnsi"/>
            <w:sz w:val="28"/>
            <w:szCs w:val="28"/>
            <w:lang w:val="en-US"/>
          </w:rPr>
          <w:t xml:space="preserve">ru</w:t>
        </w:r>
        <w:r>
          <w:rPr>
            <w:rStyle w:val="772"/>
            <w:rFonts w:ascii="Times New Roman" w:hAnsi="Times New Roman" w:eastAsiaTheme="minorHAnsi"/>
            <w:sz w:val="28"/>
            <w:szCs w:val="28"/>
          </w:rPr>
          <w:t xml:space="preserve">/</w:t>
        </w:r>
      </w:hyperlink>
      <w:r>
        <w:rPr>
          <w:rFonts w:ascii="Times New Roman" w:hAnsi="Times New Roman" w:eastAsiaTheme="minorHAnsi"/>
          <w:sz w:val="28"/>
          <w:szCs w:val="28"/>
        </w:rPr>
        <w:t xml:space="preserve">) и другие методические разработки кафедры.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ind w:right="-1"/>
        <w:jc w:val="both"/>
        <w:spacing w:after="240" w:line="240" w:lineRule="auto"/>
        <w:shd w:val="clear" w:color="auto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Основная литература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both"/>
        <w:spacing w:after="0" w:line="100" w:lineRule="atLeast"/>
        <w:rPr>
          <w:rFonts w:ascii="Times New Roman" w:hAnsi="Times New Roman"/>
          <w:sz w:val="28"/>
          <w:szCs w:val="28"/>
        </w:rPr>
      </w:pP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1. 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Шафикова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, А.В. Аннотирование и реферирование текстов: учебно-методическое пособие / 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А.В.Шафикова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 ; Институт экономики, управления и права (г. Казань), Кафедра иностранных языков и перевода. – Казань: Познание, 2014. – 88 с. – Режим доступа: по подписке. – 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Библиогр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. в кн.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  <w:lang w:val="it-IT"/>
        </w:rPr>
        <w:t xml:space="preserve">; [Электронный ресурс]. </w:t>
      </w:r>
      <w:r>
        <w:rPr>
          <w:rStyle w:val="772"/>
          <w:rFonts w:ascii="Times New Roman" w:hAnsi="Times New Roman"/>
          <w:color w:val="auto"/>
          <w:sz w:val="28"/>
          <w:szCs w:val="28"/>
          <w:u w:val="none"/>
        </w:rPr>
        <w:t xml:space="preserve">-</w:t>
      </w:r>
      <w:r>
        <w:rPr>
          <w:rStyle w:val="772"/>
          <w:rFonts w:ascii="Times New Roman" w:hAnsi="Times New Roman"/>
          <w:sz w:val="28"/>
          <w:szCs w:val="28"/>
          <w:lang w:val="it-IT"/>
        </w:rPr>
        <w:t xml:space="preserve"> URL: </w:t>
      </w:r>
      <w:hyperlink r:id="rId15" w:tooltip="https://biblioclub.ru/index.php?page=book_red&amp;id=364190" w:history="1">
        <w:r>
          <w:rPr>
            <w:rStyle w:val="772"/>
            <w:rFonts w:ascii="Times New Roman" w:hAnsi="Times New Roman"/>
            <w:sz w:val="28"/>
            <w:szCs w:val="28"/>
          </w:rPr>
          <w:t xml:space="preserve">https://biblioclub.ru/index.php?page=book_red&amp;id=364190</w:t>
        </w:r>
      </w:hyperlink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Style w:val="772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Пешкова, В.Е. Педагогика: курс лекций : учебное пособие / В.Е. Пешкова. - М. ; Берлин : </w:t>
      </w:r>
      <w:r>
        <w:rPr>
          <w:rFonts w:ascii="Times New Roman" w:hAnsi="Times New Roman"/>
          <w:sz w:val="28"/>
          <w:szCs w:val="28"/>
        </w:rPr>
        <w:t xml:space="preserve">Директ</w:t>
      </w:r>
      <w:r>
        <w:rPr>
          <w:rFonts w:ascii="Times New Roman" w:hAnsi="Times New Roman"/>
          <w:sz w:val="28"/>
          <w:szCs w:val="28"/>
        </w:rPr>
        <w:t xml:space="preserve">-Медиа, 2015. - Ч. 3. Теория и методика воспитания. - 161 с. : ил. - </w:t>
      </w:r>
      <w:r>
        <w:rPr>
          <w:rFonts w:ascii="Times New Roman" w:hAnsi="Times New Roman"/>
          <w:sz w:val="28"/>
          <w:szCs w:val="28"/>
        </w:rPr>
        <w:t xml:space="preserve">Библиогр</w:t>
      </w:r>
      <w:r>
        <w:rPr>
          <w:rFonts w:ascii="Times New Roman" w:hAnsi="Times New Roman"/>
          <w:sz w:val="28"/>
          <w:szCs w:val="28"/>
        </w:rPr>
        <w:t xml:space="preserve">. в кн. - ISBN 978-5-4475-3913-9 ; То же [Электронный ресурс]. - URL:</w:t>
      </w:r>
      <w:r>
        <w:rPr>
          <w:rStyle w:val="787"/>
          <w:rFonts w:ascii="Times New Roman" w:hAnsi="Times New Roman"/>
          <w:sz w:val="28"/>
          <w:szCs w:val="28"/>
        </w:rPr>
        <w:t xml:space="preserve"> </w:t>
      </w:r>
      <w:hyperlink r:id="rId16" w:tooltip="http://biblioclub.ru/index.php?page=book&amp;id=426827" w:history="1">
        <w:r>
          <w:rPr>
            <w:rStyle w:val="772"/>
            <w:rFonts w:ascii="Times New Roman" w:hAnsi="Times New Roman"/>
            <w:sz w:val="28"/>
            <w:szCs w:val="28"/>
          </w:rPr>
          <w:t xml:space="preserve">http://biblioclub.ru/index.php?page=book&amp;id=426827</w:t>
        </w:r>
      </w:hyperlink>
      <w:r/>
      <w:r>
        <w:rPr>
          <w:rStyle w:val="772"/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Заграй, Н.П. Методики профессионально-ориентированного обучения : учебное пособие : [16+] / Н.П. Заграй, В.С. </w:t>
      </w:r>
      <w:r>
        <w:rPr>
          <w:rFonts w:ascii="Times New Roman" w:hAnsi="Times New Roman"/>
          <w:sz w:val="28"/>
          <w:szCs w:val="28"/>
        </w:rPr>
        <w:t xml:space="preserve">Климин</w:t>
      </w:r>
      <w:r>
        <w:rPr>
          <w:rFonts w:ascii="Times New Roman" w:hAnsi="Times New Roman"/>
          <w:sz w:val="28"/>
          <w:szCs w:val="28"/>
        </w:rPr>
        <w:t xml:space="preserve"> ; Министерство науки и высшего образования Российской Федерации, Южный федеральный университет, Инженерно-технологическая академия. – Ростов-на-Дону ; Таганрог : Южный федеральный университет, 2018. – 150 с. : ил. – Режим доступа: по подписке. – URL: </w:t>
      </w:r>
      <w:hyperlink r:id="rId17" w:tooltip="https://biblioclub.ru/index.php?page=book&amp;id=561256" w:history="1">
        <w:r>
          <w:rPr>
            <w:rStyle w:val="772"/>
            <w:rFonts w:ascii="Times New Roman" w:hAnsi="Times New Roman"/>
            <w:sz w:val="28"/>
            <w:szCs w:val="28"/>
          </w:rPr>
          <w:t xml:space="preserve">https://biblioclub.ru/index.php?page=book&amp;id=561256</w:t>
        </w:r>
      </w:hyperlink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Модели создания воспитывающей среды в образовательных организациях, организациях отдыха детей и их оздоровления: наука, технологии, практики / под ред. Т.Н. Владимировой ; Министерство науки и высшего образования Российской Федерации, Московский педаго</w:t>
      </w:r>
      <w:r>
        <w:rPr>
          <w:rFonts w:ascii="Times New Roman" w:hAnsi="Times New Roman"/>
          <w:sz w:val="28"/>
          <w:szCs w:val="28"/>
        </w:rPr>
        <w:t xml:space="preserve">гический государственный университет, Федеральный координационный центр по подготовке и сопровождению вожатских кадров и др. – Москва : Московский педагогический государственный университет (МПГУ), 2018. – 454 с. : ил. – Режим доступа: по подписке. – URL: </w:t>
      </w:r>
      <w:hyperlink r:id="rId18" w:tooltip="https://biblioclub.ru/index.php?page=book&amp;id=500451" w:history="1">
        <w:r>
          <w:rPr>
            <w:rStyle w:val="772"/>
            <w:rFonts w:ascii="Times New Roman" w:hAnsi="Times New Roman"/>
            <w:sz w:val="28"/>
            <w:szCs w:val="28"/>
          </w:rPr>
          <w:t xml:space="preserve">https://biblioclub.ru/index.php?page=book&amp;id=500451</w:t>
        </w:r>
      </w:hyperlink>
      <w:r/>
      <w:r>
        <w:rPr>
          <w:rFonts w:ascii="Times New Roman" w:hAnsi="Times New Roman"/>
          <w:sz w:val="28"/>
          <w:szCs w:val="28"/>
        </w:rPr>
      </w:r>
    </w:p>
    <w:p>
      <w:pPr>
        <w:pStyle w:val="778"/>
        <w:numPr>
          <w:ilvl w:val="0"/>
          <w:numId w:val="0"/>
        </w:numPr>
        <w:ind w:left="709"/>
        <w:tabs>
          <w:tab w:val="num" w:pos="0" w:leader="none"/>
        </w:tabs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</w:r>
      <w:r>
        <w:rPr>
          <w:sz w:val="28"/>
          <w:szCs w:val="28"/>
          <w:lang w:eastAsia="zh-CN"/>
        </w:rPr>
      </w:r>
    </w:p>
    <w:p>
      <w:pPr>
        <w:jc w:val="both"/>
        <w:spacing w:after="0" w:line="240" w:lineRule="auto"/>
        <w:shd w:val="clear" w:color="auto" w:fill="ffffff"/>
        <w:tabs>
          <w:tab w:val="num" w:pos="0" w:leader="none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Дополнительная литература</w:t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67"/>
        <w:ind w:left="0"/>
        <w:jc w:val="both"/>
        <w:spacing w:after="0" w:line="240" w:lineRule="auto"/>
        <w:tabs>
          <w:tab w:val="num" w:pos="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Семянникова</w:t>
      </w:r>
      <w:r>
        <w:rPr>
          <w:rFonts w:ascii="Times New Roman" w:hAnsi="Times New Roman"/>
          <w:sz w:val="28"/>
          <w:szCs w:val="28"/>
        </w:rPr>
        <w:t xml:space="preserve">, В.В. Научно-методическая работа студентов : учебное пособие / В.В. </w:t>
      </w:r>
      <w:r>
        <w:rPr>
          <w:rFonts w:ascii="Times New Roman" w:hAnsi="Times New Roman"/>
          <w:sz w:val="28"/>
          <w:szCs w:val="28"/>
        </w:rPr>
        <w:t xml:space="preserve">Семянникова</w:t>
      </w:r>
      <w:r>
        <w:rPr>
          <w:rFonts w:ascii="Times New Roman" w:hAnsi="Times New Roman"/>
          <w:sz w:val="28"/>
          <w:szCs w:val="28"/>
        </w:rPr>
        <w:t xml:space="preserve"> ; Министерство образования и науки Российской Федера</w:t>
      </w:r>
      <w:r>
        <w:rPr>
          <w:rFonts w:ascii="Times New Roman" w:hAnsi="Times New Roman"/>
          <w:sz w:val="28"/>
          <w:szCs w:val="28"/>
        </w:rPr>
        <w:t xml:space="preserve">ции, Государственное образовательное учреждение высшего профессионального образования «Елецкий государственный университет им. И.А. Бунина». – Елец : Елецкий государственный университет им. И. А. Бунина, 2010. – 126 с. – Режим доступа: по подписке. – URL: </w:t>
      </w:r>
      <w:hyperlink r:id="rId19" w:tooltip="http://biblioclub.ru/index.php?page=book&amp;id=272301" w:history="1">
        <w:r>
          <w:rPr>
            <w:rStyle w:val="772"/>
            <w:rFonts w:ascii="Times New Roman" w:hAnsi="Times New Roman"/>
            <w:sz w:val="28"/>
            <w:szCs w:val="28"/>
          </w:rPr>
          <w:t xml:space="preserve">http://biblioclub.ru/index.php?page=book&amp;id=272301</w:t>
        </w:r>
      </w:hyperlink>
      <w:r/>
      <w:r>
        <w:rPr>
          <w:rFonts w:ascii="Times New Roman" w:hAnsi="Times New Roman"/>
          <w:sz w:val="28"/>
          <w:szCs w:val="28"/>
        </w:rPr>
      </w:r>
    </w:p>
    <w:p>
      <w:pPr>
        <w:pStyle w:val="778"/>
        <w:numPr>
          <w:ilvl w:val="0"/>
          <w:numId w:val="0"/>
        </w:numPr>
        <w:rPr>
          <w:rStyle w:val="772"/>
          <w:sz w:val="28"/>
          <w:szCs w:val="28"/>
        </w:rPr>
      </w:pPr>
      <w:r>
        <w:rPr>
          <w:sz w:val="28"/>
          <w:szCs w:val="28"/>
          <w:lang w:eastAsia="zh-CN"/>
        </w:rPr>
        <w:t xml:space="preserve">2. </w:t>
      </w:r>
      <w:r>
        <w:rPr>
          <w:sz w:val="28"/>
          <w:szCs w:val="28"/>
        </w:rPr>
        <w:t xml:space="preserve">Неретина</w:t>
      </w:r>
      <w:r>
        <w:rPr>
          <w:sz w:val="28"/>
          <w:szCs w:val="28"/>
        </w:rPr>
        <w:t xml:space="preserve">, Т.Г. Профессиональная этика педагога : учебное пособие : [16+] / Т.Г. </w:t>
      </w:r>
      <w:r>
        <w:rPr>
          <w:sz w:val="28"/>
          <w:szCs w:val="28"/>
        </w:rPr>
        <w:t xml:space="preserve">Неретина</w:t>
      </w:r>
      <w:r>
        <w:rPr>
          <w:sz w:val="28"/>
          <w:szCs w:val="28"/>
        </w:rPr>
        <w:t xml:space="preserve">. – Москва ; Берлин : </w:t>
      </w:r>
      <w:r>
        <w:rPr>
          <w:sz w:val="28"/>
          <w:szCs w:val="28"/>
        </w:rPr>
        <w:t xml:space="preserve">Директ</w:t>
      </w:r>
      <w:r>
        <w:rPr>
          <w:sz w:val="28"/>
          <w:szCs w:val="28"/>
        </w:rPr>
        <w:t xml:space="preserve">-Медиа, 2020. – 118 с. : табл. – [Электронный ресурс]. – URL: </w:t>
      </w:r>
      <w:hyperlink r:id="rId20" w:tooltip="http://biblioclub.ru/index.php?page=book&amp;id=571488" w:history="1">
        <w:r>
          <w:rPr>
            <w:rStyle w:val="772"/>
            <w:sz w:val="28"/>
            <w:szCs w:val="28"/>
          </w:rPr>
          <w:t xml:space="preserve">http://biblioclub.ru/index.php?page=book&amp;id=571488</w:t>
        </w:r>
      </w:hyperlink>
      <w:r/>
      <w:r>
        <w:rPr>
          <w:rStyle w:val="772"/>
          <w:sz w:val="28"/>
          <w:szCs w:val="28"/>
        </w:rPr>
      </w:r>
    </w:p>
    <w:p>
      <w:pPr>
        <w:ind w:firstLine="680"/>
        <w:jc w:val="center"/>
        <w:spacing w:line="10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680"/>
        <w:jc w:val="center"/>
        <w:spacing w:line="10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Современные профессиональные базы данных и информационные справочные системы:</w:t>
      </w:r>
      <w:r>
        <w:rPr>
          <w:rFonts w:ascii="Times New Roman" w:hAnsi="Times New Roman"/>
          <w:b/>
          <w:sz w:val="28"/>
          <w:szCs w:val="28"/>
        </w:rPr>
      </w:r>
    </w:p>
    <w:tbl>
      <w:tblPr>
        <w:tblW w:w="0" w:type="auto"/>
        <w:tblInd w:w="55" w:type="dxa"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000" w:firstRow="0" w:lastRow="0" w:firstColumn="0" w:lastColumn="0" w:noHBand="0" w:noVBand="0"/>
      </w:tblPr>
      <w:tblGrid>
        <w:gridCol w:w="513"/>
        <w:gridCol w:w="4350"/>
        <w:gridCol w:w="4739"/>
      </w:tblGrid>
      <w:tr>
        <w:trPr/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№ п/п</w:t>
            </w:r>
            <w:r/>
          </w:p>
        </w:tc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Наименов</w:t>
            </w:r>
            <w:r>
              <w:t xml:space="preserve">а</w:t>
            </w:r>
            <w:r>
              <w:t xml:space="preserve">ние</w:t>
            </w:r>
            <w:r/>
          </w:p>
        </w:tc>
        <w:tc>
          <w:tcPr>
            <w:shd w:val="clear" w:color="auto" w:fill="auto"/>
            <w:tcBorders>
              <w:top w:val="single" w:color="000000" w:sz="1" w:space="0"/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Гиперссылка (при наличии)</w:t>
            </w:r>
            <w:r/>
          </w:p>
        </w:tc>
      </w:tr>
      <w:tr>
        <w:trPr/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jc w:val="center"/>
              <w:spacing w:line="100" w:lineRule="atLeast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государственная библиотека</w:t>
            </w:r>
            <w:r/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000000" w:sz="1" w:space="0"/>
              <w:right w:val="single" w:color="000000" w:sz="1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jc w:val="center"/>
              <w:spacing w:line="100" w:lineRule="atLeast"/>
            </w:pPr>
            <w:r/>
            <w:hyperlink r:id="rId21" w:tooltip="https://www.rsl.ru/" w:history="1">
              <w:r>
                <w:rPr>
                  <w:rStyle w:val="772"/>
                  <w:rFonts w:ascii="Times New Roman" w:hAnsi="Times New Roman"/>
                  <w:sz w:val="24"/>
                  <w:szCs w:val="24"/>
                </w:rPr>
                <w:t xml:space="preserve">https://www.rsl.ru/</w:t>
              </w:r>
            </w:hyperlink>
            <w:r/>
            <w:r/>
          </w:p>
        </w:tc>
      </w:tr>
      <w:tr>
        <w:trPr/>
        <w:tc>
          <w:tcPr>
            <w:shd w:val="clear" w:color="auto" w:fill="auto"/>
            <w:tcBorders>
              <w:left w:val="single" w:color="000000" w:sz="1" w:space="0"/>
              <w:bottom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2</w:t>
            </w:r>
            <w:r/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АльтаВиста</w:t>
            </w:r>
            <w:r>
              <w:t xml:space="preserve">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left w:val="single" w:color="000000" w:sz="1" w:space="0"/>
              <w:bottom w:val="single" w:color="auto" w:sz="4" w:space="0"/>
              <w:right w:val="single" w:color="000000" w:sz="1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2" w:tooltip="http://www.AltaVista.ru" w:history="1">
              <w:r>
                <w:rPr>
                  <w:rStyle w:val="772"/>
                </w:rPr>
                <w:t xml:space="preserve">http://www.AltaVista.ru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3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Апорт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3" w:tooltip="http://www.Aport.ru" w:history="1">
              <w:r>
                <w:rPr>
                  <w:rStyle w:val="772"/>
                </w:rPr>
                <w:t xml:space="preserve">http://www.Aport.ru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rPr>
                <w:lang w:val="en-US"/>
              </w:rPr>
              <w:t xml:space="preserve">4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«5 </w:t>
            </w:r>
            <w:r>
              <w:t xml:space="preserve">Баллов.Ру</w:t>
            </w:r>
            <w:r>
              <w:t xml:space="preserve">»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4" w:tooltip="http://5ballov.com.ru" w:history="1">
              <w:r>
                <w:rPr>
                  <w:rStyle w:val="772"/>
                </w:rPr>
                <w:t xml:space="preserve">http://5ballov.com.ru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5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«Куратор».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5" w:tooltip="http://www.curator.ru" w:history="1">
              <w:r>
                <w:rPr>
                  <w:rStyle w:val="772"/>
                </w:rPr>
                <w:t xml:space="preserve">http://www.curator.ru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6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Федеральное аген</w:t>
            </w:r>
            <w:r>
              <w:t xml:space="preserve">т</w:t>
            </w:r>
            <w:r>
              <w:t xml:space="preserve">ство по образованию.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6" w:tooltip="http://www.ed.gov.ru" w:history="1">
              <w:r>
                <w:rPr>
                  <w:rStyle w:val="772"/>
                </w:rPr>
                <w:t xml:space="preserve">http://www.ed.gov.ru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7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Федеральный портал «Российское </w:t>
            </w:r>
            <w:r>
              <w:t xml:space="preserve">образование». Каталог образовательных Интернет-ресурсов.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/>
            <w:hyperlink r:id="rId27" w:tooltip="http://www.edu.ru" w:history="1">
              <w:r>
                <w:rPr>
                  <w:rStyle w:val="772"/>
                </w:rPr>
                <w:t xml:space="preserve">http://www.edu.ru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8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Портал «ВСЕОБУЧ» – всё об образовании.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contextualSpacing/>
              <w:ind w:left="139" w:right="123"/>
              <w:jc w:val="center"/>
              <w:spacing w:after="0" w:line="240" w:lineRule="auto"/>
              <w:rPr>
                <w:highlight w:val="yellow"/>
              </w:rPr>
            </w:pPr>
            <w:r/>
            <w:hyperlink r:id="rId28" w:tooltip="http://www.edu.-all.ru" w:history="1">
              <w:r>
                <w:rPr>
                  <w:rStyle w:val="772"/>
                </w:rPr>
                <w:t xml:space="preserve">http://www.edu.-all.ru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13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</w:pPr>
            <w:r>
              <w:t xml:space="preserve">9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350" w:type="dxa"/>
            <w:vAlign w:val="center"/>
            <w:textDirection w:val="lrTb"/>
            <w:noWrap w:val="false"/>
          </w:tcPr>
          <w:p>
            <w:pPr>
              <w:pStyle w:val="788"/>
              <w:jc w:val="center"/>
              <w:rPr>
                <w:highlight w:val="yellow"/>
              </w:rPr>
            </w:pPr>
            <w:r>
              <w:t xml:space="preserve">Федеральный институт педагогических измерений.</w:t>
            </w:r>
            <w:r>
              <w:rPr>
                <w:highlight w:val="yellow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39" w:type="dxa"/>
            <w:vAlign w:val="center"/>
            <w:textDirection w:val="lrTb"/>
            <w:noWrap w:val="false"/>
          </w:tcPr>
          <w:p>
            <w:pPr>
              <w:contextualSpacing/>
              <w:ind w:left="139" w:right="123"/>
              <w:jc w:val="center"/>
              <w:spacing w:after="0" w:line="240" w:lineRule="auto"/>
              <w:rPr>
                <w:highlight w:val="yellow"/>
              </w:rPr>
            </w:pPr>
            <w:r/>
            <w:hyperlink r:id="rId29" w:tooltip="http://www.fipi.ru" w:history="1">
              <w:r>
                <w:rPr>
                  <w:rStyle w:val="772"/>
                </w:rPr>
                <w:t xml:space="preserve">http://www.fipi.ru</w:t>
              </w:r>
            </w:hyperlink>
            <w:r>
              <w:t xml:space="preserve"> </w:t>
            </w:r>
            <w:r>
              <w:rPr>
                <w:highlight w:val="yellow"/>
              </w:rPr>
            </w:r>
          </w:p>
        </w:tc>
      </w:tr>
    </w:tbl>
    <w:p>
      <w:pPr>
        <w:ind w:firstLine="680"/>
        <w:jc w:val="center"/>
        <w:spacing w:line="100" w:lineRule="atLeas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</w:r>
      <w:r>
        <w:rPr>
          <w:rFonts w:ascii="Times New Roman" w:hAnsi="Times New Roman"/>
          <w:b/>
          <w:i/>
          <w:sz w:val="24"/>
          <w:szCs w:val="24"/>
        </w:rPr>
      </w:r>
    </w:p>
    <w:p>
      <w:pPr>
        <w:contextualSpacing/>
        <w:ind w:firstLine="709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Формирование списка использованных источников в отчете по </w:t>
      </w:r>
      <w:r>
        <w:rPr>
          <w:rFonts w:ascii="Times New Roman" w:hAnsi="Times New Roman"/>
          <w:b/>
          <w:sz w:val="28"/>
          <w:szCs w:val="28"/>
        </w:rPr>
        <w:t xml:space="preserve">ПРОИЗВОДСТВЕННОЙ ПРАКТИКЕ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(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Педагогической практике</w:t>
      </w:r>
      <w:r>
        <w:rPr>
          <w:rFonts w:ascii="Times New Roman" w:hAnsi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b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NewRomanPSMT"/>
          <w:color w:val="040317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Список использованных источников (Список литературы) формируется в порядке появления ссылок, оформляется согласно ГОСТ Р 7.0.5-2008.</w:t>
      </w:r>
      <w:r>
        <w:rPr>
          <w:rFonts w:ascii="Times New Roman" w:hAnsi="Times New Roman" w:cs="TimesNewRomanPSMT"/>
          <w:color w:val="040317"/>
          <w:sz w:val="28"/>
          <w:szCs w:val="28"/>
          <w:lang w:eastAsia="ru-RU"/>
        </w:rPr>
      </w:r>
    </w:p>
    <w:p>
      <w:pPr>
        <w:contextualSpacing/>
        <w:ind w:firstLine="709"/>
        <w:spacing w:after="0" w:line="240" w:lineRule="auto"/>
        <w:shd w:val="clear" w:color="auto" w:fill="ffffff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1) Как сослаться на Интернет-ресурс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Ссылаться на Интернет-источники и электронные ресурсы можно и нужно. При этом ссылаться на Интернет-ресурсы необходимо в соответствии с государственным стандартом ―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ГОСТом Р 7.0.5-2008 «БИБЛИОГРАФИЧЕСКАЯ ССЫЛКА»: Общие требования и правила составления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, который вступил в силу с 01.01.2009 года.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Объектами составления библиографической ссылки в этом случае являются электронные ресурсы удалённого доступа.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Ссылки составляют как на электронные ресурсы в целом (электронные документы</w:t>
      </w:r>
      <w:r>
        <w:rPr>
          <w:rFonts w:ascii="Times New Roman" w:hAnsi="Times New Roman"/>
          <w:sz w:val="28"/>
          <w:szCs w:val="28"/>
          <w:lang w:eastAsia="ru-RU"/>
        </w:rPr>
        <w:t xml:space="preserve">, базы данных, порталы, сайты, веб-страницы, форумы и т. д.), так и на составные части электронных ресурсов (разделы и части электронных документов, порталов, сайтов, веб-страниц, публикации в электронных сериальных изданиях, сообщения на форумах и т. п.).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spacing w:after="0" w:line="240" w:lineRule="auto"/>
        <w:shd w:val="clear" w:color="auto" w:fill="ffffff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2) Пример оформления ссылок на Интернет-ресурсы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списке литературы,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изданий), вставляются описания электронных источников в формате: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№. Наименование публикации, на которую идёт ссылка. Автор ФИО полностью. Наименование ресурса (сайта в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Internet</w:t>
      </w:r>
      <w:r>
        <w:rPr>
          <w:rFonts w:ascii="Times New Roman" w:hAnsi="Times New Roman"/>
          <w:sz w:val="28"/>
          <w:szCs w:val="28"/>
          <w:lang w:eastAsia="ru-RU"/>
        </w:rPr>
        <w:t xml:space="preserve">). [Полный 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URL</w:t>
      </w:r>
      <w:r>
        <w:rPr>
          <w:rFonts w:ascii="Times New Roman" w:hAnsi="Times New Roman"/>
          <w:sz w:val="28"/>
          <w:szCs w:val="28"/>
          <w:lang w:eastAsia="ru-RU"/>
        </w:rPr>
        <w:t xml:space="preserve"> публикации (то есть по нему открывается именно тот документ, на который ссылаетесь)] (дата обращения к ресурсу </w:t>
      </w:r>
      <w:r>
        <w:rPr>
          <w:rFonts w:ascii="Times New Roman" w:hAnsi="Times New Roman"/>
          <w:sz w:val="28"/>
          <w:szCs w:val="28"/>
          <w:lang w:eastAsia="ru-RU"/>
        </w:rPr>
        <w:t xml:space="preserve">дд.мм.гггг</w:t>
      </w:r>
      <w:r>
        <w:rPr>
          <w:rFonts w:ascii="Times New Roman" w:hAnsi="Times New Roman"/>
          <w:sz w:val="28"/>
          <w:szCs w:val="28"/>
          <w:lang w:eastAsia="ru-RU"/>
        </w:rPr>
        <w:t xml:space="preserve">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Пример:</w:t>
      </w:r>
      <w:r>
        <w:rPr>
          <w:rFonts w:ascii="Times New Roman" w:hAnsi="Times New Roman"/>
          <w:i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К вопросу об аллигаторах. Павлов Сергей Иванович. Центр научной фантастики. http://www.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cnf</w:t>
      </w:r>
      <w:r>
        <w:rPr>
          <w:rFonts w:ascii="Times New Roman" w:hAnsi="Times New Roman"/>
          <w:sz w:val="28"/>
          <w:szCs w:val="28"/>
          <w:lang w:eastAsia="ru-RU"/>
        </w:rPr>
        <w:t xml:space="preserve">.ru/</w:t>
      </w:r>
      <w:r>
        <w:rPr>
          <w:rFonts w:ascii="Times New Roman" w:hAnsi="Times New Roman"/>
          <w:sz w:val="28"/>
          <w:szCs w:val="28"/>
          <w:lang w:val="en-US" w:eastAsia="ru-RU"/>
        </w:rPr>
        <w:t xml:space="preserve">qal</w:t>
      </w:r>
      <w:r>
        <w:rPr>
          <w:rFonts w:ascii="Times New Roman" w:hAnsi="Times New Roman"/>
          <w:sz w:val="28"/>
          <w:szCs w:val="28"/>
          <w:lang w:eastAsia="ru-RU"/>
        </w:rPr>
        <w:t xml:space="preserve">.html (18.01.2007).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709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/>
      <w:bookmarkStart w:id="2" w:name="OZ"/>
      <w:r>
        <w:rPr>
          <w:rFonts w:ascii="Times New Roman" w:hAnsi="Times New Roman" w:cs="TimesNewRomanPSMT"/>
          <w:b/>
          <w:color w:val="040317"/>
          <w:sz w:val="28"/>
          <w:szCs w:val="28"/>
          <w:lang w:eastAsia="ru-RU"/>
        </w:rPr>
        <w:t xml:space="preserve">3)</w:t>
      </w:r>
      <w:r>
        <w:rPr>
          <w:rFonts w:ascii="Times New Roman" w:hAnsi="Times New Roman" w:cs="Arial"/>
          <w:b/>
          <w:bCs/>
          <w:color w:val="000000"/>
          <w:sz w:val="28"/>
          <w:szCs w:val="28"/>
          <w:lang w:eastAsia="ru-RU"/>
        </w:rPr>
        <w:t xml:space="preserve"> Общие замечания</w:t>
      </w:r>
      <w:bookmarkEnd w:id="2"/>
      <w:r/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Рекомендуется представлять единый список литературы к работе в целом. Каждый источник упоминается в списке один раз, вне зависимости от того, как часто на него делается ссылка в тексте работы.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Наиболее удобным является алфавитное расположение материала, так как в этом случае произведения собираются в авторских комплексах. Произведения одного автора расставляются в списке по алфавиту заглавий.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Официальные до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кументы ставятся в начале списка в определенном порядке: Конституции; Кодексы; Законы; Указы Президента; Постановление Правительства; другие нормативные акты (письма, приказы и т. д.). Внутри каждой группы документы располагаются в хронологическом порядке.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Литература на иностранных языках ставится в конце списка после литературы на русском языке, образуя дополнительный алфавитный ряд. 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Список электронных ресурсов указывается в самом конце, после печатных изданий делается подзаголовок «Электронные ресурсы», без кавычек, и, продолжая нумерацию основного списка литературы (печатных изданий).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Arial"/>
          <w:color w:val="000000"/>
          <w:sz w:val="28"/>
          <w:szCs w:val="28"/>
          <w:lang w:eastAsia="ru-RU"/>
        </w:rPr>
      </w:pP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Для каждого документа предусмотрены следующие элементы библиографи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  <w:t xml:space="preserve">ческой характеристики: фамилия автора, инициалы; название; подзаголовочные сведения (учебник, учебное пособие, словарь и т. д.); выходные сведения (место издания, издательство, год издания); количественная характеристика (общее количество страниц в книге).</w:t>
      </w:r>
      <w:r>
        <w:rPr>
          <w:rFonts w:ascii="Times New Roman" w:hAnsi="Times New Roman" w:cs="Arial"/>
          <w:color w:val="000000"/>
          <w:sz w:val="28"/>
          <w:szCs w:val="28"/>
          <w:lang w:eastAsia="ru-RU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/>
      <w:bookmarkStart w:id="3" w:name="_Toc530669168"/>
      <w:r>
        <w:rPr>
          <w:rFonts w:ascii="Times New Roman" w:hAnsi="Times New Roman"/>
          <w:b/>
          <w:sz w:val="28"/>
          <w:szCs w:val="28"/>
        </w:rPr>
        <w:t xml:space="preserve">8. Оформление таблиц, иллюстраций, схем при подготовке отчета по </w:t>
      </w:r>
      <w:r>
        <w:rPr>
          <w:rFonts w:ascii="Times New Roman" w:hAnsi="Times New Roman"/>
          <w:b/>
          <w:sz w:val="28"/>
          <w:szCs w:val="28"/>
        </w:rPr>
        <w:t xml:space="preserve">ПРОИЗВОДСТВЕННОЙ ПРАКТИКЕ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(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Педагогической практике</w:t>
      </w:r>
      <w:r>
        <w:rPr>
          <w:rFonts w:ascii="Times New Roman" w:hAnsi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bookmarkEnd w:id="3"/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Таблицы и рисунки вставляются в текст в режиме без обтекания текстом, выравнивание – по центру. Нумерация рисунков и таблиц ведётся раздельно сквозной нумерацией по всему тексту.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случае отсутствия значения в какой-либо ячейке таблицы, она заполняется прочерком (знак «минус»). Если по данной строке показатель не рассчитывается, то ставится «Х».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Таблица располагается непосредственно после текста,</w:t>
      </w:r>
      <w:r>
        <w:rPr>
          <w:rFonts w:ascii="Times New Roman" w:hAnsi="Times New Roman"/>
          <w:sz w:val="28"/>
          <w:szCs w:val="28"/>
          <w:lang w:eastAsia="ru-RU"/>
        </w:rPr>
        <w:t xml:space="preserve"> в котором она упоминается первый раз или на следующей странице. На все таблицы должна быть ссылка (например: … в таблице 1; или …. (табл. 1)) . Аналитические таблицы должны быть пронумерованы и иметь название, кратко и ясно характеризующее их содержание.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Название таблицы следует выполнять строчными буквами (кроме первой прописной) и помещать над таблицей. Наименование организации, учреждения банка в названии таблиц не допускается. В таблице обязательно указываются единицы измерения, периоды времени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(год, квартал, месяц и т.д.) и другие данные, четко и правильно раскрывающие основное ее содержание. Если цифровые данные в графах таблицы имеют различные единицы измерения (кг, руб., шт., проценты и т. д.), то единицы измерения указывают в каждой строке.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Если расчеты ведутся с точностью до одной сотой, то при отсутствии сотых долей после запятой ставится нуль, например, 105,10% или 98,00% и т.д. с точностью до одно</w:t>
      </w:r>
      <w:r>
        <w:rPr>
          <w:rFonts w:ascii="Times New Roman" w:hAnsi="Times New Roman"/>
          <w:sz w:val="28"/>
          <w:szCs w:val="28"/>
          <w:lang w:eastAsia="ru-RU"/>
        </w:rPr>
        <w:t xml:space="preserve">й десятой, тысячной. Значения располагаются по последней строке названия показателя. Громоздкие таблицы и большие по объему материалы графического характера (схемы, графики, рисунки и др.) целесообразно помещать в конце отчета как приложения. В приложения </w:t>
      </w:r>
      <w:r>
        <w:rPr>
          <w:rFonts w:ascii="Times New Roman" w:hAnsi="Times New Roman"/>
          <w:sz w:val="28"/>
          <w:szCs w:val="28"/>
          <w:lang w:eastAsia="ru-RU"/>
        </w:rPr>
        <w:t xml:space="preserve">выносятся подробные математические выкладки, текст вспомогательного характера и т.д. 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Все иллюстрации должны выполняться на стандартных листах формата А4 и размещаться так, чтоб</w:t>
      </w:r>
      <w:r>
        <w:rPr>
          <w:rFonts w:ascii="Times New Roman" w:hAnsi="Times New Roman"/>
          <w:sz w:val="28"/>
          <w:szCs w:val="28"/>
          <w:lang w:eastAsia="ru-RU"/>
        </w:rPr>
        <w:t xml:space="preserve">ы их было удобно видеть без поворота текста отчета. В случае, если поворот неизбежен, то размещение таблицы, графика и т.д. надо ориентировать так, чтобы для ее просмотра отчет разворачивался по часовой стрелке. При размещении иллюстраций не допускаются «р</w:t>
      </w:r>
      <w:r>
        <w:rPr>
          <w:rFonts w:ascii="Times New Roman" w:hAnsi="Times New Roman"/>
          <w:sz w:val="28"/>
          <w:szCs w:val="28"/>
          <w:lang w:eastAsia="ru-RU"/>
        </w:rPr>
        <w:t xml:space="preserve">азрывы». После каждой таблицы, графика, диаграммы и т.д. должны излагаться основные выводы, суждения, предложения, основанные на конкретном цифровом материале. Обучающемуся необходимо при этом изложить собственную точку зрения по конкретному вопросу и умет</w:t>
      </w:r>
      <w:r>
        <w:rPr>
          <w:rFonts w:ascii="Times New Roman" w:hAnsi="Times New Roman"/>
          <w:sz w:val="28"/>
          <w:szCs w:val="28"/>
          <w:lang w:eastAsia="ru-RU"/>
        </w:rPr>
        <w:t xml:space="preserve">ь ее экономически верно обосновать. По тексту отчета приведение подряд несколько таблиц, графиков, диаграмм и т.д., не допускается, так как могут возникнуть затруднения при описании собственных суждений, выводов, предложений по приведенным цифровым данным.</w:t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 w:clear="all"/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contextualSpacing/>
        <w:ind w:firstLine="363"/>
        <w:jc w:val="both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</w:r>
      <w:r>
        <w:rPr>
          <w:rFonts w:ascii="Times New Roman" w:hAnsi="Times New Roman"/>
          <w:sz w:val="28"/>
          <w:szCs w:val="28"/>
          <w:lang w:eastAsia="ru-RU"/>
        </w:rPr>
      </w:r>
    </w:p>
    <w:p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Приложения</w:t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pPr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Приложение 1</w:t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bottom w:val="single" w:color="auto" w:sz="24" w:space="0"/>
        </w:tblBorders>
        <w:tblLook w:val="04A0" w:firstRow="1" w:lastRow="0" w:firstColumn="1" w:lastColumn="0" w:noHBand="0" w:noVBand="1"/>
      </w:tblPr>
      <w:tblGrid>
        <w:gridCol w:w="9356"/>
      </w:tblGrid>
      <w:tr>
        <w:trPr/>
        <w:tc>
          <w:tcPr>
            <w:tcW w:w="9356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Образовательное частное учреждение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высшего образования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МОСКОВСКАЯ МЕЖДУНАРОДНАЯ АКАДЕМИЯ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773"/>
        <w:rPr>
          <w:sz w:val="8"/>
          <w:szCs w:val="8"/>
        </w:rPr>
      </w:pPr>
      <w:r>
        <w:rPr>
          <w:sz w:val="8"/>
          <w:szCs w:val="8"/>
        </w:rPr>
      </w:r>
      <w:r>
        <w:rPr>
          <w:sz w:val="8"/>
          <w:szCs w:val="8"/>
        </w:rPr>
      </w:r>
    </w:p>
    <w:p>
      <w:pPr>
        <w:ind w:left="82"/>
        <w:jc w:val="center"/>
        <w:shd w:val="clear" w:color="auto" w:fill="ffffff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 w:line="360" w:lineRule="auto"/>
        <w:rPr>
          <w:rFonts w:ascii="Times New Roman" w:hAnsi="Times New Roman"/>
          <w:b/>
          <w:spacing w:val="-1"/>
          <w:sz w:val="28"/>
          <w:szCs w:val="28"/>
        </w:rPr>
      </w:pPr>
      <w:r>
        <w:rPr>
          <w:rFonts w:ascii="Times New Roman" w:hAnsi="Times New Roman"/>
          <w:b/>
          <w:spacing w:val="-1"/>
          <w:sz w:val="28"/>
          <w:szCs w:val="28"/>
        </w:rPr>
        <w:t xml:space="preserve">ОТЧЕТ ПО ПРАКТИЧЕСКОЙ ПОДГОТОВКЕ</w:t>
      </w:r>
      <w:r>
        <w:rPr>
          <w:rFonts w:ascii="Times New Roman" w:hAnsi="Times New Roman"/>
          <w:b/>
          <w:spacing w:val="-1"/>
          <w:sz w:val="28"/>
          <w:szCs w:val="28"/>
        </w:rPr>
      </w:r>
    </w:p>
    <w:p>
      <w:pPr>
        <w:contextualSpacing/>
        <w:jc w:val="center"/>
        <w:spacing w:after="0" w:line="240" w:lineRule="auto"/>
        <w:shd w:val="clear" w:color="auto" w:fill="ffffff"/>
        <w:widowControl w:val="off"/>
        <w:tabs>
          <w:tab w:val="left" w:pos="1111" w:leader="none"/>
        </w:tabs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о прохождении</w:t>
      </w:r>
      <w:r>
        <w:rPr>
          <w:rFonts w:ascii="Arial" w:hAnsi="Arial" w:cs="Arial"/>
          <w:b/>
        </w:rPr>
        <w:t xml:space="preserve"> </w:t>
      </w:r>
      <w:r>
        <w:rPr>
          <w:rFonts w:ascii="Times New Roman" w:hAnsi="Times New Roman"/>
          <w:spacing w:val="-1"/>
          <w:sz w:val="28"/>
          <w:szCs w:val="28"/>
        </w:rPr>
        <w:t xml:space="preserve">Производственной практики</w:t>
      </w:r>
      <w:r>
        <w:rPr>
          <w:rFonts w:ascii="Times New Roman" w:hAnsi="Times New Roman"/>
          <w:spacing w:val="-1"/>
          <w:sz w:val="28"/>
          <w:szCs w:val="28"/>
        </w:rPr>
        <w:t xml:space="preserve"> (</w:t>
      </w:r>
      <w:r>
        <w:rPr>
          <w:rFonts w:ascii="Times New Roman" w:hAnsi="Times New Roman"/>
          <w:spacing w:val="-1"/>
          <w:sz w:val="28"/>
          <w:szCs w:val="28"/>
        </w:rPr>
        <w:t xml:space="preserve">Педагогической практики</w:t>
      </w:r>
      <w:r>
        <w:rPr>
          <w:rFonts w:ascii="Times New Roman" w:hAnsi="Times New Roman"/>
          <w:spacing w:val="-1"/>
          <w:sz w:val="28"/>
          <w:szCs w:val="28"/>
        </w:rPr>
        <w:t xml:space="preserve">)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jc w:val="center"/>
        <w:spacing w:after="0" w:line="240" w:lineRule="auto"/>
        <w:shd w:val="clear" w:color="auto" w:fill="ffffff"/>
        <w:widowControl w:val="off"/>
        <w:tabs>
          <w:tab w:val="left" w:pos="1111" w:leader="none"/>
        </w:tabs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 xml:space="preserve">(наименование/тип практики)</w:t>
      </w:r>
      <w:r>
        <w:rPr>
          <w:rFonts w:ascii="Times New Roman" w:hAnsi="Times New Roman"/>
          <w:spacing w:val="-1"/>
          <w:sz w:val="20"/>
          <w:szCs w:val="20"/>
        </w:rPr>
      </w:r>
    </w:p>
    <w:p>
      <w:pPr>
        <w:ind w:firstLine="709"/>
        <w:jc w:val="center"/>
        <w:spacing w:after="40"/>
        <w:rPr>
          <w:rFonts w:ascii="Arial" w:hAnsi="Arial" w:cs="Arial"/>
          <w:b/>
        </w:rPr>
      </w:pP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ind w:firstLine="709"/>
        <w:jc w:val="center"/>
        <w:spacing w:after="40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Обучающегося ____ курса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гр. _______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______________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 xml:space="preserve">Ф.И.О.</w:t>
      </w:r>
      <w:r>
        <w:rPr>
          <w:rFonts w:ascii="Times New Roman" w:hAnsi="Times New Roman"/>
          <w:spacing w:val="-1"/>
          <w:sz w:val="20"/>
          <w:szCs w:val="20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Руководитель по практической подготовке: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______________________</w:t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jc w:val="right"/>
        <w:spacing w:after="0" w:line="240" w:lineRule="auto"/>
        <w:rPr>
          <w:sz w:val="20"/>
          <w:szCs w:val="20"/>
        </w:rPr>
      </w:pPr>
      <w:r>
        <w:rPr>
          <w:rFonts w:ascii="Times New Roman" w:hAnsi="Times New Roman"/>
          <w:spacing w:val="-1"/>
          <w:sz w:val="20"/>
          <w:szCs w:val="20"/>
        </w:rPr>
        <w:t xml:space="preserve">должность, Ф.И.О.</w:t>
      </w:r>
      <w:r>
        <w:rPr>
          <w:sz w:val="20"/>
          <w:szCs w:val="20"/>
        </w:rPr>
      </w:r>
    </w:p>
    <w:p>
      <w:pPr>
        <w:contextualSpacing/>
        <w:ind w:left="709"/>
        <w:jc w:val="right"/>
        <w:spacing w:after="0" w:line="240" w:lineRule="auto"/>
        <w:shd w:val="clear" w:color="auto" w:fill="ffffff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contextualSpacing/>
        <w:ind w:firstLine="3686"/>
        <w:jc w:val="right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Защищено с оценкой   </w:t>
      </w:r>
      <w:r>
        <w:rPr>
          <w:rFonts w:ascii="Times New Roman" w:hAnsi="Times New Roman"/>
          <w:sz w:val="28"/>
          <w:szCs w:val="28"/>
          <w:u w:val="single"/>
        </w:rPr>
        <w:t xml:space="preserve">[написать от руки]</w:t>
      </w:r>
      <w:r>
        <w:rPr>
          <w:rFonts w:ascii="Times New Roman" w:hAnsi="Times New Roman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/>
      <w:bookmarkStart w:id="4" w:name="_GoBack"/>
      <w:r/>
      <w:bookmarkEnd w:id="4"/>
      <w:r/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124" w:firstLine="708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</w:r>
      <w:r>
        <w:rPr>
          <w:rFonts w:ascii="Times New Roman" w:hAnsi="Times New Roman"/>
          <w:spacing w:val="-1"/>
          <w:sz w:val="28"/>
          <w:szCs w:val="28"/>
        </w:rPr>
      </w:r>
    </w:p>
    <w:p>
      <w:pPr>
        <w:ind w:left="2977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Москва 202</w:t>
      </w:r>
      <w:r>
        <w:rPr>
          <w:rFonts w:ascii="Times New Roman" w:hAnsi="Times New Roman"/>
          <w:spacing w:val="-1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br w:type="page" w:clear="all"/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Приложение 2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tbl>
      <w:tblPr>
        <w:tblW w:w="0" w:type="auto"/>
        <w:tblInd w:w="108" w:type="dxa"/>
        <w:tblBorders>
          <w:bottom w:val="single" w:color="auto" w:sz="24" w:space="0"/>
        </w:tblBorders>
        <w:tblLook w:val="04A0" w:firstRow="1" w:lastRow="0" w:firstColumn="1" w:lastColumn="0" w:noHBand="0" w:noVBand="1"/>
      </w:tblPr>
      <w:tblGrid>
        <w:gridCol w:w="9379"/>
      </w:tblGrid>
      <w:tr>
        <w:trPr/>
        <w:tc>
          <w:tcPr>
            <w:tcW w:w="9379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Образовательное частное учреждение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высшего образования</w:t>
            </w:r>
            <w:r>
              <w:rPr>
                <w:rFonts w:ascii="Times New Roman" w:hAnsi="Times New Roman"/>
                <w:sz w:val="28"/>
              </w:rPr>
            </w:r>
          </w:p>
          <w:p>
            <w:pPr>
              <w:contextualSpacing/>
              <w:jc w:val="center"/>
              <w:spacing w:after="0" w:line="240" w:lineRule="auto"/>
              <w:tabs>
                <w:tab w:val="center" w:pos="4677" w:leader="none"/>
                <w:tab w:val="right" w:pos="9355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МОСКОВСКАЯ МЕЖДУНАРОДНАЯ АКАДЕМИЯ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773"/>
        <w:rPr>
          <w:sz w:val="8"/>
          <w:szCs w:val="8"/>
        </w:rPr>
      </w:pPr>
      <w:r>
        <w:rPr>
          <w:sz w:val="8"/>
          <w:szCs w:val="8"/>
        </w:rPr>
      </w:r>
      <w:r>
        <w:rPr>
          <w:sz w:val="8"/>
          <w:szCs w:val="8"/>
        </w:rPr>
      </w:r>
    </w:p>
    <w:p>
      <w:pPr>
        <w:jc w:val="center"/>
        <w:widowControl w:val="off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  <w:r>
        <w:rPr>
          <w:b/>
          <w:bCs/>
          <w:sz w:val="20"/>
          <w:szCs w:val="20"/>
        </w:rPr>
      </w:r>
    </w:p>
    <w:p>
      <w:pPr>
        <w:jc w:val="center"/>
        <w:widowControl w:val="of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НАПРАВЛЕНИЕ ДЛЯ ПРОХОЖДЕНИЯ ПРАКТИЧЕСКОЙ ПОДГОТОВКИ</w:t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Студент (ка)_</w:t>
      </w:r>
      <w:r>
        <w:rPr>
          <w:rFonts w:ascii="Times New Roman" w:hAnsi="Times New Roman"/>
          <w:sz w:val="24"/>
          <w:szCs w:val="24"/>
          <w:u w:val="single"/>
        </w:rPr>
        <w:t xml:space="preserve">[заполнить ФИО студента]</w:t>
      </w:r>
      <w:r>
        <w:rPr>
          <w:rFonts w:ascii="Times New Roman" w:hAnsi="Times New Roman"/>
          <w:sz w:val="24"/>
          <w:szCs w:val="24"/>
        </w:rPr>
        <w:t xml:space="preserve">_________________________________________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(фамилия, имя, отчество)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</w:rPr>
        <w:t xml:space="preserve">направляется для прохождения практической подготовки  - </w:t>
      </w:r>
      <w:r>
        <w:rPr>
          <w:rFonts w:ascii="Times New Roman" w:hAnsi="Times New Roman"/>
          <w:b/>
          <w:sz w:val="24"/>
          <w:szCs w:val="24"/>
        </w:rPr>
        <w:t xml:space="preserve">Производственной практики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>
        <w:rPr>
          <w:rFonts w:ascii="Times New Roman" w:hAnsi="Times New Roman"/>
          <w:b/>
          <w:sz w:val="24"/>
          <w:szCs w:val="24"/>
        </w:rPr>
        <w:t xml:space="preserve">Педагогической практики</w:t>
      </w:r>
      <w:r>
        <w:rPr>
          <w:rFonts w:ascii="Times New Roman" w:hAnsi="Times New Roman"/>
          <w:b/>
          <w:sz w:val="24"/>
          <w:szCs w:val="24"/>
        </w:rPr>
        <w:t xml:space="preserve">)</w:t>
      </w:r>
      <w:r>
        <w:rPr>
          <w:rFonts w:ascii="Times New Roman" w:hAnsi="Times New Roman"/>
          <w:b/>
          <w:sz w:val="24"/>
          <w:szCs w:val="24"/>
          <w:vertAlign w:val="superscript"/>
        </w:rPr>
        <w:t xml:space="preserve"> </w:t>
      </w:r>
      <w:r>
        <w:rPr>
          <w:rFonts w:ascii="Times New Roman" w:hAnsi="Times New Roman"/>
          <w:b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  <w:u w:val="single"/>
        </w:rPr>
        <w:t xml:space="preserve">[заполнить полное наименование организации</w:t>
      </w:r>
      <w:r>
        <w:rPr>
          <w:rFonts w:ascii="Times New Roman" w:hAnsi="Times New Roman"/>
          <w:sz w:val="24"/>
          <w:szCs w:val="24"/>
        </w:rPr>
        <w:t xml:space="preserve">_____________________________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(наименование организации)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практической подготовки с  «____»  _________20__г.  по  «____»  __________20__ г.  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организации (ОЧУ ВО ММА): </w:t>
      </w:r>
      <w:r>
        <w:rPr>
          <w:rFonts w:ascii="Times New Roman" w:hAnsi="Times New Roman"/>
          <w:sz w:val="24"/>
          <w:szCs w:val="24"/>
          <w:u w:val="single"/>
        </w:rPr>
        <w:t xml:space="preserve">[заполнить ФИО руководителя практической подготовки от ОЧУ ВО ММА с указанием должности, учёных степеней и званий]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 должность, фамилия, имя, отчество)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Декан  ________________ __________________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(подпись)                            (фамилия, имя, отчество)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Руководитель практической подготовки от профильной организации: </w:t>
      </w:r>
      <w:r>
        <w:rPr>
          <w:rFonts w:ascii="Times New Roman" w:hAnsi="Times New Roman"/>
          <w:sz w:val="24"/>
          <w:szCs w:val="24"/>
          <w:u w:val="single"/>
        </w:rPr>
        <w:t xml:space="preserve">[заполнить ФИО руководителя практики от Профильной Организации с указанием должности, учёных степеней и званий]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(должность, фамилия, имя, отчество)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Прибыл (а)    с  «____»  _________20__ г.  _</w:t>
      </w:r>
      <w:r>
        <w:rPr>
          <w:rFonts w:ascii="Times New Roman" w:hAnsi="Times New Roman"/>
          <w:sz w:val="24"/>
          <w:szCs w:val="24"/>
          <w:u w:val="single"/>
        </w:rPr>
        <w:t xml:space="preserve">[подпись отв. лица в профильной организации]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(подпись)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Убыл (а) с  «____»  __________20__ г.  _</w:t>
      </w:r>
      <w:r>
        <w:rPr>
          <w:rFonts w:ascii="Times New Roman" w:hAnsi="Times New Roman"/>
          <w:sz w:val="24"/>
          <w:szCs w:val="24"/>
          <w:u w:val="single"/>
        </w:rPr>
        <w:t xml:space="preserve">[подпись отв. лица в профильной организации]</w:t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widowControl w:val="off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(подпись)</w:t>
      </w:r>
      <w:r>
        <w:rPr>
          <w:rFonts w:ascii="Times New Roman" w:hAnsi="Times New Roman"/>
          <w:sz w:val="24"/>
          <w:szCs w:val="24"/>
          <w:vertAlign w:val="superscript"/>
        </w:rPr>
      </w:r>
    </w:p>
    <w:p>
      <w:pPr>
        <w:rPr>
          <w:lang w:eastAsia="ru-RU"/>
        </w:rPr>
      </w:pPr>
      <w:r>
        <w:rPr>
          <w:lang w:eastAsia="ru-RU"/>
        </w:rPr>
      </w:r>
      <w:r>
        <w:rPr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tbl>
      <w:tblPr>
        <w:tblpPr w:horzAnchor="margin" w:tblpXSpec="left" w:vertAnchor="text" w:tblpY="713" w:leftFromText="180" w:topFromText="0" w:rightFromText="180" w:bottomFromText="0"/>
        <w:tblW w:w="9430" w:type="dxa"/>
        <w:tblLayout w:type="fixed"/>
        <w:tblLook w:val="0000" w:firstRow="0" w:lastRow="0" w:firstColumn="0" w:lastColumn="0" w:noHBand="0" w:noVBand="0"/>
      </w:tblPr>
      <w:tblGrid>
        <w:gridCol w:w="4715"/>
        <w:gridCol w:w="4715"/>
      </w:tblGrid>
      <w:tr>
        <w:trPr>
          <w:trHeight w:val="878"/>
        </w:trPr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СОГЛАСОВАНО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auto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r>
          </w:p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УТВЕРЖДАЮ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1118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Руководитель практической подготовки от профильной организации</w:t>
            </w:r>
            <w:r>
              <w:rPr>
                <w:rFonts w:ascii="Times New Roman" w:hAnsi="Times New Roman"/>
                <w:b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_________________</w:t>
            </w:r>
            <w:r>
              <w:rPr>
                <w:rFonts w:ascii="Times New Roman" w:hAnsi="Times New Roman"/>
                <w:b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(подпись)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Руководитель практической подготовки от организации (ОЧУ ВО ММА)</w:t>
            </w:r>
            <w:r>
              <w:rPr>
                <w:rFonts w:ascii="Times New Roman" w:hAnsi="Times New Roman"/>
                <w:b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_________________</w:t>
            </w:r>
            <w:r>
              <w:rPr>
                <w:rFonts w:ascii="Times New Roman" w:hAnsi="Times New Roman"/>
                <w:b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(подпись)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</w:r>
          </w:p>
        </w:tc>
      </w:tr>
      <w:tr>
        <w:trPr>
          <w:trHeight w:val="49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</w:t>
            </w:r>
            <w:r>
              <w:rPr>
                <w:rFonts w:ascii="Times New Roman" w:hAnsi="Times New Roman"/>
                <w:lang w:val="en-US" w:eastAsia="ru-RU"/>
              </w:rPr>
              <w:t xml:space="preserve">[</w:t>
            </w:r>
            <w:r>
              <w:rPr>
                <w:rFonts w:ascii="Times New Roman" w:hAnsi="Times New Roman"/>
                <w:lang w:eastAsia="ru-RU"/>
              </w:rPr>
              <w:t xml:space="preserve">ФИО</w:t>
            </w:r>
            <w:r>
              <w:rPr>
                <w:rFonts w:ascii="Times New Roman" w:hAnsi="Times New Roman"/>
                <w:lang w:val="en-US" w:eastAsia="ru-RU"/>
              </w:rPr>
              <w:t xml:space="preserve">]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_____</w:t>
            </w:r>
            <w:r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</w:t>
            </w:r>
            <w:r>
              <w:rPr>
                <w:rFonts w:ascii="Times New Roman" w:hAnsi="Times New Roman"/>
                <w:lang w:val="en-US" w:eastAsia="ru-RU"/>
              </w:rPr>
              <w:t xml:space="preserve">[</w:t>
            </w:r>
            <w:r>
              <w:rPr>
                <w:rFonts w:ascii="Times New Roman" w:hAnsi="Times New Roman"/>
                <w:lang w:eastAsia="ru-RU"/>
              </w:rPr>
              <w:t xml:space="preserve">ФИО</w:t>
            </w:r>
            <w:r>
              <w:rPr>
                <w:rFonts w:ascii="Times New Roman" w:hAnsi="Times New Roman"/>
                <w:lang w:val="en-US" w:eastAsia="ru-RU"/>
              </w:rPr>
              <w:t xml:space="preserve">]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_____</w:t>
            </w:r>
            <w:r>
              <w:rPr>
                <w:rFonts w:ascii="Times New Roman" w:hAnsi="Times New Roman"/>
                <w:strike/>
                <w:sz w:val="28"/>
                <w:szCs w:val="28"/>
                <w:lang w:eastAsia="ru-RU"/>
              </w:rPr>
            </w:r>
          </w:p>
        </w:tc>
      </w:tr>
      <w:tr>
        <w:trPr>
          <w:trHeight w:val="43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«____»  _____________20_____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715" w:type="dxa"/>
            <w:textDirection w:val="lrTb"/>
            <w:noWrap w:val="false"/>
          </w:tcPr>
          <w:p>
            <w:pPr>
              <w:contextualSpacing/>
              <w:ind w:right="23"/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 «____»  _____________20_____</w:t>
            </w:r>
            <w:r>
              <w:rPr>
                <w:rFonts w:ascii="Times New Roman" w:hAnsi="Times New Roman"/>
                <w:sz w:val="24"/>
                <w:szCs w:val="24"/>
                <w:lang w:val="en-US" w:eastAsia="ru-RU"/>
              </w:rPr>
            </w:r>
          </w:p>
        </w:tc>
      </w:tr>
    </w:tbl>
    <w:tbl>
      <w:tblPr>
        <w:tblpPr w:horzAnchor="margin" w:tblpXSpec="left" w:vertAnchor="text" w:tblpY="-5549" w:leftFromText="180" w:topFromText="0" w:rightFromText="180" w:bottomFromText="0"/>
        <w:tblW w:w="0" w:type="auto"/>
        <w:tblBorders>
          <w:bottom w:val="single" w:color="auto" w:sz="24" w:space="0"/>
        </w:tblBorders>
        <w:tblLook w:val="04A0" w:firstRow="1" w:lastRow="0" w:firstColumn="1" w:lastColumn="0" w:noHBand="0" w:noVBand="1"/>
      </w:tblPr>
      <w:tblGrid>
        <w:gridCol w:w="9356"/>
      </w:tblGrid>
      <w:tr>
        <w:trPr/>
        <w:tc>
          <w:tcPr>
            <w:shd w:val="clear" w:color="auto" w:fill="auto"/>
            <w:tcW w:w="93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Приложение 3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Образовательное частное учреждение</w:t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0"/>
                <w:lang w:eastAsia="ru-RU"/>
              </w:rPr>
              <w:t xml:space="preserve">высшего образования</w:t>
            </w:r>
            <w:r>
              <w:rPr>
                <w:rFonts w:ascii="Times New Roman" w:hAnsi="Times New Roman"/>
                <w:sz w:val="28"/>
                <w:szCs w:val="20"/>
                <w:lang w:eastAsia="ru-RU"/>
              </w:rPr>
            </w:r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0"/>
                <w:lang w:eastAsia="ru-RU"/>
              </w:rPr>
              <w:t xml:space="preserve">МОСКОВСКАЯ МЕЖДУНАРОДНАЯ АКАДЕМИЯ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ИНДИВИДУАЛЬНОЕ ЗАДАНИЕ И РАБОЧИЙ ПЛАН-ГРАФИК 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ПРАКТИЧЕСКОЙ ПОДГОТОВКИ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spacing w:after="0" w:line="360" w:lineRule="auto"/>
        <w:shd w:val="clear" w:color="auto" w:fill="ffffff"/>
        <w:widowControl w:val="o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Студента ____ФИО___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spacing w:after="0" w:line="360" w:lineRule="auto"/>
        <w:shd w:val="clear" w:color="auto" w:fill="ffffff"/>
        <w:widowControl w:val="o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Направление: 44.03.01 Педагогическое образование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spacing w:after="0" w:line="360" w:lineRule="auto"/>
        <w:shd w:val="clear" w:color="auto" w:fill="ffffff"/>
        <w:widowControl w:val="off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Направленность: </w:t>
      </w:r>
      <w:r>
        <w:rPr>
          <w:rFonts w:ascii="Times New Roman" w:hAnsi="Times New Roman"/>
          <w:sz w:val="24"/>
          <w:szCs w:val="24"/>
          <w:lang w:eastAsia="ru-RU"/>
        </w:rPr>
        <w:t xml:space="preserve">Физическая культура, спорт и фитнес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spacing w:after="0" w:line="360" w:lineRule="auto"/>
        <w:shd w:val="clear" w:color="auto" w:fill="ffffff"/>
        <w:widowControl w:val="off"/>
        <w:tabs>
          <w:tab w:val="left" w:pos="1176" w:leader="underscor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Курс __группа _____________</w:t>
      </w:r>
      <w:r>
        <w:rPr>
          <w:rFonts w:ascii="Times New Roman" w:hAnsi="Times New Roman"/>
          <w:sz w:val="24"/>
          <w:szCs w:val="24"/>
          <w:lang w:eastAsia="ru-RU"/>
        </w:rPr>
      </w:r>
    </w:p>
    <w:p>
      <w:pPr>
        <w:jc w:val="both"/>
        <w:spacing w:after="0" w:line="360" w:lineRule="auto"/>
        <w:shd w:val="clear" w:color="auto" w:fill="ffffff"/>
        <w:widowControl w:val="off"/>
        <w:tabs>
          <w:tab w:val="left" w:pos="1176" w:leader="underscore"/>
        </w:tabs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Производственная практика</w:t>
      </w:r>
      <w:r>
        <w:t xml:space="preserve"> </w:t>
      </w:r>
      <w:r>
        <w:t xml:space="preserve">(</w:t>
      </w:r>
      <w:r>
        <w:rPr>
          <w:rFonts w:ascii="Times New Roman" w:hAnsi="Times New Roman"/>
          <w:sz w:val="24"/>
          <w:szCs w:val="24"/>
          <w:lang w:eastAsia="ru-RU"/>
        </w:rPr>
        <w:t xml:space="preserve">Педагогическая практика</w:t>
      </w:r>
      <w:r>
        <w:rPr>
          <w:rFonts w:ascii="Times New Roman" w:hAnsi="Times New Roman"/>
          <w:sz w:val="24"/>
          <w:szCs w:val="24"/>
          <w:lang w:eastAsia="ru-RU"/>
        </w:rPr>
        <w:t xml:space="preserve">)</w:t>
      </w:r>
      <w:r>
        <w:rPr>
          <w:rFonts w:ascii="Times New Roman" w:hAnsi="Times New Roman"/>
          <w:sz w:val="24"/>
          <w:szCs w:val="24"/>
          <w:lang w:eastAsia="ru-RU"/>
        </w:rPr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694"/>
        <w:gridCol w:w="5387"/>
        <w:gridCol w:w="2382"/>
      </w:tblGrid>
      <w:tr>
        <w:trPr/>
        <w:tc>
          <w:tcPr>
            <w:shd w:val="clear" w:color="auto" w:fill="f2f2f2"/>
            <w:tcW w:w="1694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День №/Дата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2f2f2"/>
            <w:tcW w:w="5387" w:type="dxa"/>
            <w:vAlign w:val="center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Задание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shd w:val="clear" w:color="auto" w:fill="f2f2f2"/>
            <w:tcW w:w="2382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ind w:left="0" w:firstLine="0"/>
              <w:jc w:val="center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Компетенции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  <w:tr>
        <w:trPr/>
        <w:tc>
          <w:tcPr>
            <w:tcW w:w="1694" w:type="dxa"/>
            <w:textDirection w:val="lrTb"/>
            <w:noWrap w:val="false"/>
          </w:tcPr>
          <w:p>
            <w:pPr>
              <w:pStyle w:val="778"/>
              <w:numPr>
                <w:ilvl w:val="0"/>
                <w:numId w:val="31"/>
              </w:numPr>
              <w:jc w:val="left"/>
            </w:pPr>
            <w:r>
              <w:t xml:space="preserve">(Д</w:t>
            </w:r>
            <w:r>
              <w:t xml:space="preserve">ень и даты в соответствии с графиком и УП)</w:t>
            </w:r>
            <w:r/>
          </w:p>
        </w:tc>
        <w:tc>
          <w:tcPr>
            <w:tcW w:w="5387" w:type="dxa"/>
            <w:textDirection w:val="lrTb"/>
            <w:noWrap w:val="false"/>
          </w:tcPr>
          <w:p>
            <w:pPr>
              <w:pStyle w:val="7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целей и задач практики, получение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материалов для прохождения практики.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Инструктаж о порядке прохождения  практики; инструктаж по охране труда, технике безопасности, пожарной безопасности.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tabs>
                <w:tab w:val="left" w:pos="1908" w:leader="none"/>
                <w:tab w:val="left" w:pos="2206" w:leader="none"/>
                <w:tab w:val="left" w:pos="2416" w:leader="none"/>
                <w:tab w:val="left" w:pos="2698" w:leader="none"/>
                <w:tab w:val="left" w:pos="2858" w:leader="none"/>
                <w:tab w:val="left" w:pos="3554" w:leader="none"/>
                <w:tab w:val="left" w:pos="3766" w:leader="none"/>
                <w:tab w:val="left" w:pos="3963" w:leader="none"/>
                <w:tab w:val="left" w:pos="4409" w:leader="none"/>
                <w:tab w:val="left" w:pos="4457" w:leader="none"/>
                <w:tab w:val="left" w:pos="5389" w:leader="none"/>
                <w:tab w:val="left" w:pos="5562" w:leader="none"/>
                <w:tab w:val="left" w:pos="5816" w:leader="none"/>
                <w:tab w:val="left" w:pos="6545" w:leader="none"/>
                <w:tab w:val="left" w:pos="7071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внутреннего трудового распорядка. Формирование представлений практикантов о специфике профессиональной деятельности педагога.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</w:r>
          </w:p>
        </w:tc>
        <w:tc>
          <w:tcPr>
            <w:tcW w:w="238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ОПК-5;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ОПК-6;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1694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contextualSpacing/>
              <w:ind w:left="0" w:firstLine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387" w:type="dxa"/>
            <w:textDirection w:val="lrTb"/>
            <w:noWrap w:val="false"/>
          </w:tcPr>
          <w:p>
            <w:pPr>
              <w:pStyle w:val="784"/>
              <w:contextualSpacing/>
              <w:jc w:val="both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Анализ </w:t>
            </w:r>
            <w:r>
              <w:rPr>
                <w:spacing w:val="3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основной образовательной программы, по которой работает ДОУ.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и анализ планирования.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Составление конспектов пробных занятий по различным видам деятельности детей дошкольного возраста в соответствии с программой.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tabs>
                <w:tab w:val="left" w:pos="2784" w:leader="none"/>
                <w:tab w:val="left" w:pos="618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пробных занятий по различным видам деятельности детей дошкольного возраста в соответствии с программой.</w:t>
            </w:r>
            <w:r>
              <w:rPr>
                <w:sz w:val="24"/>
                <w:szCs w:val="24"/>
              </w:rPr>
            </w:r>
          </w:p>
          <w:p>
            <w:pPr>
              <w:pStyle w:val="784"/>
              <w:contextualSpacing/>
              <w:jc w:val="both"/>
              <w:tabs>
                <w:tab w:val="left" w:pos="2784" w:leader="none"/>
                <w:tab w:val="left" w:pos="6184" w:leader="none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Самоанализ проведенных занятий.</w:t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W w:w="238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ОПК-4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ПК-1;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ПК-4; 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1694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contextualSpacing/>
              <w:ind w:left="0" w:firstLine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387" w:type="dxa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Индивидуальное задание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38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ОПК-7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ОПК-8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ПК-1;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ПК-2; 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ПК-3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ПК-4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  <w:tr>
        <w:trPr/>
        <w:tc>
          <w:tcPr>
            <w:tcW w:w="1694" w:type="dxa"/>
            <w:textDirection w:val="lrTb"/>
            <w:noWrap w:val="false"/>
          </w:tcPr>
          <w:p>
            <w:pPr>
              <w:numPr>
                <w:ilvl w:val="0"/>
                <w:numId w:val="30"/>
              </w:numPr>
              <w:contextualSpacing/>
              <w:ind w:left="0" w:firstLine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5387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отчета по практике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2382" w:type="dxa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ОПК-5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ОПК-6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contextualSpacing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ПК-2</w:t>
            </w: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4"/>
          <w:szCs w:val="24"/>
          <w:highlight w:val="yellow"/>
          <w:lang w:eastAsia="ru-RU"/>
        </w:rPr>
        <w:br w:type="page" w:clear="all"/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Приложение 4</w:t>
      </w:r>
      <w:r>
        <w:rPr>
          <w:rFonts w:ascii="Times New Roman" w:hAnsi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ОТЗЫВ О ПРАКТИЧЕСКОЙ ПОДГОТОВКЕ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0"/>
          <w:szCs w:val="20"/>
        </w:rPr>
      </w: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Обучающегося </w:t>
      </w:r>
      <w:r>
        <w:rPr>
          <w:rFonts w:ascii="Times New Roman" w:hAnsi="Times New Roman"/>
          <w:bCs/>
          <w:i/>
          <w:color w:val="000000"/>
          <w:sz w:val="20"/>
          <w:szCs w:val="20"/>
        </w:rPr>
        <w:t xml:space="preserve">___________________________________________________________________________</w:t>
      </w: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     (фамилия, имя, отчество)</w:t>
      </w:r>
      <w:r>
        <w:rPr>
          <w:rFonts w:ascii="Times New Roman" w:hAnsi="Times New Roman"/>
          <w:i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время, в течение которого обучающийся проходил практическую подготовку;</w:t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каком объеме выполнена программа практики в соответствии с индивидуальным заданием по получению,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закреплению, расширению, углублению и систематизация знаний, полученных при изучении специальных дисциплин в рамках осваиваемых компетенций;</w:t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уровень теоретической и практической подготовки обучающегося, овладение навыками самостоятельного выполнения трудовых  функций;</w:t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трудовая дисциплина обучающегося во время практики;</w:t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качество выполняемых работ; получение навыков практической работы в профессиональной деятельности;</w:t>
      </w:r>
      <w:r>
        <w:rPr>
          <w:rFonts w:ascii="Times New Roman" w:hAnsi="Times New Roman"/>
          <w:sz w:val="28"/>
          <w:szCs w:val="28"/>
        </w:rPr>
      </w:r>
    </w:p>
    <w:p>
      <w:pPr>
        <w:numPr>
          <w:ilvl w:val="0"/>
          <w:numId w:val="40"/>
        </w:numPr>
        <w:contextualSpacing/>
        <w:jc w:val="both"/>
        <w:spacing w:after="0" w:line="240" w:lineRule="auto"/>
        <w:widowControl w:val="off"/>
        <w:tabs>
          <w:tab w:val="left" w:pos="1698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вывод руководителя практики от организации- о выполнении обучающимся программы практики и  планируемых результатов обучения по освоению компетенций, получения практических навыков в профессиональной деятельности – удалить при редактировании</w:t>
      </w:r>
      <w:r>
        <w:rPr>
          <w:rFonts w:ascii="Times New Roman" w:hAnsi="Times New Roman"/>
          <w:sz w:val="28"/>
          <w:szCs w:val="28"/>
        </w:rPr>
      </w:r>
    </w:p>
    <w:p>
      <w:pPr>
        <w:ind w:right="142"/>
        <w:jc w:val="both"/>
        <w:spacing w:after="0" w:line="240" w:lineRule="auto"/>
        <w:shd w:val="clear" w:color="auto" w:fill="ffffff"/>
        <w:tabs>
          <w:tab w:val="left" w:pos="9923" w:leader="none"/>
        </w:tabs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ind w:right="142"/>
        <w:jc w:val="both"/>
        <w:spacing w:after="0" w:line="240" w:lineRule="auto"/>
        <w:shd w:val="clear" w:color="auto" w:fill="ffffff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</w:r>
      <w:r>
        <w:rPr>
          <w:rFonts w:ascii="Times New Roman" w:hAnsi="Times New Roman"/>
          <w:bCs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Рекомендуемая оценка 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_______________________</w:t>
      </w: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  <w:r>
        <w:rPr>
          <w:rFonts w:ascii="Times New Roman" w:hAnsi="Times New Roman"/>
          <w:b/>
          <w:bCs/>
          <w:color w:val="000000"/>
          <w:sz w:val="24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профильной организации 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____________________________</w:t>
      </w:r>
      <w:r>
        <w:rPr>
          <w:rFonts w:ascii="Times New Roman" w:hAnsi="Times New Roman"/>
          <w:b/>
          <w:bCs/>
          <w:color w:val="000000"/>
          <w:sz w:val="24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  (ФИО, должность, подпись)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0"/>
          <w:szCs w:val="20"/>
        </w:rPr>
      </w:r>
      <w:r>
        <w:rPr>
          <w:rFonts w:ascii="Times New Roman" w:hAnsi="Times New Roman"/>
          <w:b/>
          <w:color w:val="000000"/>
          <w:sz w:val="20"/>
          <w:szCs w:val="20"/>
        </w:rPr>
      </w:r>
    </w:p>
    <w:p>
      <w:pPr>
        <w:ind w:right="142"/>
        <w:spacing w:after="0" w:line="240" w:lineRule="auto"/>
        <w:shd w:val="clear" w:color="auto" w:fill="ffffff"/>
        <w:tabs>
          <w:tab w:val="left" w:pos="9781" w:leader="none"/>
        </w:tabs>
        <w:rPr>
          <w:rFonts w:ascii="Times New Roman" w:hAnsi="Times New Roman"/>
          <w:i/>
          <w:color w:val="000000"/>
          <w:sz w:val="20"/>
          <w:szCs w:val="20"/>
        </w:rPr>
      </w:pPr>
      <w:r>
        <w:rPr>
          <w:rFonts w:ascii="Times New Roman" w:hAnsi="Times New Roman"/>
          <w:b/>
          <w:color w:val="000000"/>
          <w:sz w:val="24"/>
          <w:szCs w:val="20"/>
        </w:rPr>
        <w:t xml:space="preserve">Заключение руководителя практики от организации (ОЧУ ВО ММА)</w:t>
      </w:r>
      <w:r>
        <w:rPr>
          <w:rFonts w:ascii="Times New Roman" w:hAnsi="Times New Roman"/>
          <w:b/>
          <w:i/>
          <w:color w:val="000000"/>
          <w:sz w:val="24"/>
          <w:szCs w:val="20"/>
        </w:rPr>
        <w:t xml:space="preserve">:</w:t>
      </w:r>
      <w:r>
        <w:rPr>
          <w:rFonts w:ascii="Times New Roman" w:hAnsi="Times New Roman"/>
          <w:i/>
          <w:color w:val="000000"/>
          <w:sz w:val="24"/>
          <w:szCs w:val="20"/>
          <w:u w:val="single"/>
        </w:rPr>
        <w:t xml:space="preserve"> </w:t>
      </w:r>
      <w:r>
        <w:rPr>
          <w:rFonts w:ascii="Times New Roman" w:hAnsi="Times New Roman"/>
          <w:i/>
          <w:color w:val="000000"/>
          <w:sz w:val="20"/>
          <w:szCs w:val="20"/>
        </w:rPr>
      </w:r>
    </w:p>
    <w:p>
      <w:pPr>
        <w:ind w:right="142"/>
        <w:jc w:val="both"/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____________________</w:t>
      </w: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>
      <w:pPr>
        <w:ind w:right="-57"/>
        <w:jc w:val="both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__________________________</w:t>
      </w:r>
      <w:r>
        <w:rPr>
          <w:rFonts w:ascii="Times New Roman" w:hAnsi="Times New Roman"/>
          <w:color w:val="000000"/>
          <w:sz w:val="20"/>
          <w:szCs w:val="2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Руководитель по практической подготовке </w:t>
      </w:r>
      <w:r>
        <w:rPr>
          <w:rFonts w:ascii="Times New Roman" w:hAnsi="Times New Roman"/>
          <w:b/>
          <w:bCs/>
          <w:color w:val="000000"/>
          <w:sz w:val="24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4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от организации (ОЧУ ВО ММА)   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______________________</w:t>
      </w:r>
      <w:r>
        <w:rPr>
          <w:rFonts w:ascii="Times New Roman" w:hAnsi="Times New Roman"/>
          <w:b/>
          <w:bCs/>
          <w:color w:val="000000"/>
          <w:sz w:val="24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i/>
          <w:color w:val="000000"/>
          <w:sz w:val="20"/>
          <w:szCs w:val="20"/>
        </w:rPr>
        <w:t xml:space="preserve">                                                                     (ФИО, должность, подпись)</w:t>
      </w:r>
      <w:r>
        <w:rPr>
          <w:rFonts w:ascii="Times New Roman" w:hAnsi="Times New Roman"/>
          <w:color w:val="000000"/>
          <w:sz w:val="20"/>
          <w:szCs w:val="20"/>
        </w:rPr>
      </w:r>
    </w:p>
    <w:p>
      <w:pPr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4"/>
          <w:szCs w:val="20"/>
        </w:rPr>
        <w:t xml:space="preserve">Общая оценка </w:t>
      </w:r>
      <w:r>
        <w:rPr>
          <w:rFonts w:ascii="Times New Roman" w:hAnsi="Times New Roman"/>
          <w:bCs/>
          <w:color w:val="000000"/>
          <w:sz w:val="20"/>
          <w:szCs w:val="20"/>
        </w:rPr>
        <w:t xml:space="preserve">_______________________</w:t>
      </w:r>
      <w:r>
        <w:rPr>
          <w:rFonts w:ascii="Times New Roman" w:hAnsi="Times New Roman"/>
          <w:b/>
          <w:bCs/>
          <w:color w:val="000000"/>
          <w:sz w:val="20"/>
          <w:szCs w:val="20"/>
        </w:rPr>
      </w:r>
    </w:p>
    <w:p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</w:r>
      <w:r>
        <w:rPr>
          <w:rFonts w:ascii="Times New Roman" w:hAnsi="Times New Roman"/>
          <w:b/>
          <w:sz w:val="24"/>
          <w:szCs w:val="24"/>
          <w:lang w:eastAsia="ru-RU"/>
        </w:rPr>
      </w:r>
    </w:p>
    <w:p>
      <w:r/>
      <w:r/>
    </w:p>
    <w:p>
      <w:pPr>
        <w:spacing w:after="0" w:line="360" w:lineRule="auto"/>
      </w:pPr>
      <w:r/>
      <w:r/>
    </w:p>
    <w:sectPr>
      <w:headerReference w:type="default" r:id="rId10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PSMT">
    <w:panose1 w:val="02020603050405020304"/>
  </w:font>
  <w:font w:name="Andale Sans UI">
    <w:panose1 w:val="020B0604030504040204"/>
  </w:font>
  <w:font w:name="Courier New">
    <w:panose1 w:val="02070309020205020404"/>
  </w:font>
  <w:font w:name="Wingdings">
    <w:panose1 w:val="05010000000000000000"/>
  </w:font>
  <w:font w:name="Symbol">
    <w:panose1 w:val="05010000000000000000"/>
  </w:font>
  <w:font w:name="Tahoma">
    <w:panose1 w:val="020B0604030504040204"/>
  </w:font>
  <w:font w:name="Verdana">
    <w:panose1 w:val="020B0604030504040204"/>
  </w:font>
  <w:font w:name="Times New Roman">
    <w:panose1 w:val="02020603050405020304"/>
  </w:font>
  <w:font w:name="Helvetica Neue">
    <w:panose1 w:val="020B060403050404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sz w:val="8"/>
      </w:rPr>
    </w:pPr>
    <w:r>
      <w:rPr>
        <w:sz w:val="8"/>
      </w:rPr>
    </w:r>
    <w:r>
      <w:rPr>
        <w:sz w:val="8"/>
      </w:rPr>
    </w:r>
  </w:p>
  <w:p>
    <w:pPr>
      <w:pStyle w:val="773"/>
      <w:rPr>
        <w:sz w:val="8"/>
        <w:szCs w:val="8"/>
      </w:rPr>
    </w:pPr>
    <w:r>
      <w:rPr>
        <w:sz w:val="8"/>
        <w:szCs w:val="8"/>
      </w:rPr>
    </w:r>
    <w:r>
      <w:rPr>
        <w:sz w:val="8"/>
        <w:szCs w:val="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3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pStyle w:val="778"/>
      <w:isLgl w:val="false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/>
        <w:lang w:val="ru-RU" w:eastAsia="ru-RU" w:bidi="ru-RU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hint="default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54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74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94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14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34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54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74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94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14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80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6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247" w:hanging="247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4" w:hanging="360"/>
        <w:tabs>
          <w:tab w:val="num" w:pos="644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5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4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ascii="Verdana" w:hAnsi="Verdana" w:eastAsia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ascii="Verdana" w:hAnsi="Verdana" w:eastAsia="Verdana" w:cs="Verdana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0"/>
        <w:szCs w:val="20"/>
        <w:u w:val="none"/>
        <w:lang w:val="ru-RU" w:eastAsia="ru-RU" w:bidi="ru-RU"/>
      </w:rPr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7" w:hanging="360"/>
      </w:pPr>
      <w:rPr>
        <w:rFonts w:hint="default"/>
      </w:rPr>
    </w:lvl>
    <w:lvl w:ilvl="1">
      <w:start w:val="1"/>
      <w:numFmt w:val="decimal"/>
      <w:isLgl/>
      <w:suff w:val="tab"/>
      <w:lvlText w:val="%1.%2"/>
      <w:lvlJc w:val="left"/>
      <w:pPr>
        <w:ind w:left="1047" w:hanging="360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1407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1767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2127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2127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2487" w:hanging="1800"/>
      </w:pPr>
      <w:rPr>
        <w:rFonts w:hint="default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  <w:lang w:val="ru-RU" w:eastAsia="ru-RU" w:bidi="ru-RU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</w:pPr>
      <w:rPr>
        <w:rFonts w:hint="default" w:ascii="Symbol" w:hAnsi="Symbol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hint="default"/>
        <w:lang w:val="ru-RU" w:eastAsia="ru-RU" w:bidi="ru-RU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26"/>
  </w:num>
  <w:num w:numId="2">
    <w:abstractNumId w:val="31"/>
  </w:num>
  <w:num w:numId="3">
    <w:abstractNumId w:val="21"/>
  </w:num>
  <w:num w:numId="4">
    <w:abstractNumId w:val="19"/>
  </w:num>
  <w:num w:numId="5">
    <w:abstractNumId w:val="28"/>
  </w:num>
  <w:num w:numId="6">
    <w:abstractNumId w:val="3"/>
  </w:num>
  <w:num w:numId="7">
    <w:abstractNumId w:val="30"/>
  </w:num>
  <w:num w:numId="8">
    <w:abstractNumId w:val="12"/>
  </w:num>
  <w:num w:numId="9">
    <w:abstractNumId w:val="33"/>
  </w:num>
  <w:num w:numId="10">
    <w:abstractNumId w:val="4"/>
  </w:num>
  <w:num w:numId="11">
    <w:abstractNumId w:val="6"/>
  </w:num>
  <w:num w:numId="12">
    <w:abstractNumId w:val="5"/>
  </w:num>
  <w:num w:numId="13">
    <w:abstractNumId w:val="2"/>
  </w:num>
  <w:num w:numId="14">
    <w:abstractNumId w:val="34"/>
  </w:num>
  <w:num w:numId="15">
    <w:abstractNumId w:val="32"/>
  </w:num>
  <w:num w:numId="16">
    <w:abstractNumId w:val="9"/>
  </w:num>
  <w:num w:numId="17">
    <w:abstractNumId w:val="27"/>
  </w:num>
  <w:num w:numId="18">
    <w:abstractNumId w:val="20"/>
  </w:num>
  <w:num w:numId="19">
    <w:abstractNumId w:val="23"/>
  </w:num>
  <w:num w:numId="20">
    <w:abstractNumId w:val="22"/>
  </w:num>
  <w:num w:numId="21">
    <w:abstractNumId w:val="16"/>
  </w:num>
  <w:num w:numId="22">
    <w:abstractNumId w:val="25"/>
  </w:num>
  <w:num w:numId="23">
    <w:abstractNumId w:val="14"/>
  </w:num>
  <w:num w:numId="24">
    <w:abstractNumId w:val="7"/>
  </w:num>
  <w:num w:numId="25">
    <w:abstractNumId w:val="29"/>
  </w:num>
  <w:num w:numId="26">
    <w:abstractNumId w:val="13"/>
  </w:num>
  <w:num w:numId="27">
    <w:abstractNumId w:val="35"/>
  </w:num>
  <w:num w:numId="28">
    <w:abstractNumId w:val="8"/>
  </w:num>
  <w:num w:numId="29">
    <w:abstractNumId w:val="18"/>
  </w:num>
  <w:num w:numId="30">
    <w:abstractNumId w:val="1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4"/>
  </w:num>
  <w:num w:numId="38">
    <w:abstractNumId w:val="10"/>
  </w:num>
  <w:num w:numId="39">
    <w:abstractNumId w:val="17"/>
  </w:num>
  <w:num w:numId="40">
    <w:abstractNumId w:val="11"/>
  </w:num>
  <w:num w:numId="41">
    <w:abstractNumId w:val="0"/>
  </w:num>
  <w:num w:numId="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58"/>
    <w:link w:val="756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55"/>
    <w:next w:val="755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5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55"/>
    <w:next w:val="755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5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55"/>
    <w:next w:val="755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5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55"/>
    <w:next w:val="755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58"/>
    <w:link w:val="21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758"/>
    <w:link w:val="757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55"/>
    <w:next w:val="755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5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55"/>
    <w:next w:val="755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5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55"/>
    <w:next w:val="755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5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55"/>
    <w:next w:val="755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58"/>
    <w:link w:val="34"/>
    <w:uiPriority w:val="10"/>
    <w:rPr>
      <w:sz w:val="48"/>
      <w:szCs w:val="48"/>
    </w:rPr>
  </w:style>
  <w:style w:type="paragraph" w:styleId="36">
    <w:name w:val="Subtitle"/>
    <w:basedOn w:val="755"/>
    <w:next w:val="755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58"/>
    <w:link w:val="36"/>
    <w:uiPriority w:val="11"/>
    <w:rPr>
      <w:sz w:val="24"/>
      <w:szCs w:val="24"/>
    </w:rPr>
  </w:style>
  <w:style w:type="paragraph" w:styleId="38">
    <w:name w:val="Quote"/>
    <w:basedOn w:val="755"/>
    <w:next w:val="755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55"/>
    <w:next w:val="755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58"/>
    <w:link w:val="773"/>
    <w:uiPriority w:val="99"/>
  </w:style>
  <w:style w:type="character" w:styleId="45">
    <w:name w:val="Footer Char"/>
    <w:basedOn w:val="758"/>
    <w:link w:val="793"/>
    <w:uiPriority w:val="99"/>
  </w:style>
  <w:style w:type="paragraph" w:styleId="46">
    <w:name w:val="Caption"/>
    <w:basedOn w:val="755"/>
    <w:next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93"/>
    <w:uiPriority w:val="99"/>
  </w:style>
  <w:style w:type="table" w:styleId="49">
    <w:name w:val="Table Grid Light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5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75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5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Footnote Text Char"/>
    <w:link w:val="775"/>
    <w:uiPriority w:val="99"/>
    <w:rPr>
      <w:sz w:val="18"/>
    </w:rPr>
  </w:style>
  <w:style w:type="character" w:styleId="177">
    <w:name w:val="footnote reference"/>
    <w:basedOn w:val="758"/>
    <w:uiPriority w:val="99"/>
    <w:unhideWhenUsed/>
    <w:rPr>
      <w:vertAlign w:val="superscript"/>
    </w:rPr>
  </w:style>
  <w:style w:type="paragraph" w:styleId="178">
    <w:name w:val="endnote text"/>
    <w:basedOn w:val="755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58"/>
    <w:uiPriority w:val="99"/>
    <w:semiHidden/>
    <w:unhideWhenUsed/>
    <w:rPr>
      <w:vertAlign w:val="superscript"/>
    </w:rPr>
  </w:style>
  <w:style w:type="paragraph" w:styleId="181">
    <w:name w:val="toc 1"/>
    <w:basedOn w:val="755"/>
    <w:next w:val="755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55"/>
    <w:next w:val="755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55"/>
    <w:next w:val="755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55"/>
    <w:next w:val="755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55"/>
    <w:next w:val="755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55"/>
    <w:next w:val="755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55"/>
    <w:next w:val="755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55"/>
    <w:next w:val="755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55"/>
    <w:next w:val="755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55"/>
    <w:next w:val="755"/>
    <w:uiPriority w:val="99"/>
    <w:unhideWhenUsed/>
    <w:pPr>
      <w:spacing w:after="0" w:afterAutospacing="0"/>
    </w:pPr>
  </w:style>
  <w:style w:type="paragraph" w:styleId="755" w:default="1">
    <w:name w:val="Normal"/>
    <w:qFormat/>
    <w:rPr>
      <w:rFonts w:ascii="Calibri" w:hAnsi="Calibri" w:eastAsia="Times New Roman" w:cs="Times New Roman"/>
    </w:rPr>
  </w:style>
  <w:style w:type="paragraph" w:styleId="756">
    <w:name w:val="Heading 1"/>
    <w:basedOn w:val="755"/>
    <w:next w:val="755"/>
    <w:link w:val="785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757">
    <w:name w:val="Heading 6"/>
    <w:basedOn w:val="755"/>
    <w:next w:val="755"/>
    <w:link w:val="761"/>
    <w:qFormat/>
    <w:pPr>
      <w:ind w:left="2796" w:hanging="1152"/>
      <w:spacing w:before="240" w:after="60" w:line="240" w:lineRule="auto"/>
      <w:tabs>
        <w:tab w:val="num" w:pos="2796" w:leader="none"/>
      </w:tabs>
      <w:outlineLvl w:val="5"/>
    </w:pPr>
    <w:rPr>
      <w:rFonts w:ascii="Times New Roman" w:hAnsi="Times New Roman"/>
      <w:i/>
      <w:szCs w:val="20"/>
      <w:lang w:eastAsia="ru-RU"/>
    </w:rPr>
  </w:style>
  <w:style w:type="character" w:styleId="758" w:default="1">
    <w:name w:val="Default Paragraph Font"/>
    <w:uiPriority w:val="1"/>
    <w:semiHidden/>
    <w:unhideWhenUsed/>
  </w:style>
  <w:style w:type="table" w:styleId="7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0" w:default="1">
    <w:name w:val="No List"/>
    <w:uiPriority w:val="99"/>
    <w:semiHidden/>
    <w:unhideWhenUsed/>
  </w:style>
  <w:style w:type="character" w:styleId="761" w:customStyle="1">
    <w:name w:val="Заголовок 6 Знак"/>
    <w:basedOn w:val="758"/>
    <w:link w:val="757"/>
    <w:rPr>
      <w:rFonts w:ascii="Times New Roman" w:hAnsi="Times New Roman" w:eastAsia="Times New Roman" w:cs="Times New Roman"/>
      <w:i/>
      <w:szCs w:val="20"/>
      <w:lang w:eastAsia="ru-RU"/>
    </w:rPr>
  </w:style>
  <w:style w:type="character" w:styleId="762" w:customStyle="1">
    <w:name w:val="Основной текст (7)_"/>
    <w:basedOn w:val="758"/>
    <w:link w:val="763"/>
    <w:rPr>
      <w:rFonts w:ascii="Times New Roman" w:hAnsi="Times New Roman" w:eastAsia="Times New Roman" w:cs="Times New Roman"/>
      <w:b/>
      <w:bCs/>
      <w:sz w:val="20"/>
      <w:szCs w:val="20"/>
      <w:shd w:val="clear" w:color="auto" w:fill="ffffff"/>
    </w:rPr>
  </w:style>
  <w:style w:type="paragraph" w:styleId="763" w:customStyle="1">
    <w:name w:val="Основной текст (7)"/>
    <w:basedOn w:val="755"/>
    <w:link w:val="762"/>
    <w:pPr>
      <w:jc w:val="both"/>
      <w:spacing w:before="240" w:after="0" w:line="240" w:lineRule="exact"/>
      <w:shd w:val="clear" w:color="auto" w:fill="ffffff"/>
      <w:widowControl w:val="off"/>
    </w:pPr>
    <w:rPr>
      <w:rFonts w:ascii="Times New Roman" w:hAnsi="Times New Roman"/>
      <w:b/>
      <w:bCs/>
      <w:sz w:val="20"/>
      <w:szCs w:val="20"/>
    </w:rPr>
  </w:style>
  <w:style w:type="character" w:styleId="764" w:customStyle="1">
    <w:name w:val="Основной текст (8)_"/>
    <w:basedOn w:val="758"/>
    <w:link w:val="765"/>
    <w:rPr>
      <w:rFonts w:ascii="Verdana" w:hAnsi="Verdana" w:eastAsia="Verdana" w:cs="Verdana"/>
      <w:sz w:val="20"/>
      <w:szCs w:val="20"/>
      <w:shd w:val="clear" w:color="auto" w:fill="ffffff"/>
    </w:rPr>
  </w:style>
  <w:style w:type="paragraph" w:styleId="765" w:customStyle="1">
    <w:name w:val="Основной текст (8)"/>
    <w:basedOn w:val="755"/>
    <w:link w:val="764"/>
    <w:pPr>
      <w:jc w:val="both"/>
      <w:spacing w:after="0" w:line="240" w:lineRule="exact"/>
      <w:shd w:val="clear" w:color="auto" w:fill="ffffff"/>
      <w:widowControl w:val="off"/>
    </w:pPr>
    <w:rPr>
      <w:rFonts w:ascii="Verdana" w:hAnsi="Verdana" w:eastAsia="Verdana" w:cs="Verdana"/>
      <w:sz w:val="20"/>
      <w:szCs w:val="20"/>
    </w:rPr>
  </w:style>
  <w:style w:type="table" w:styleId="766">
    <w:name w:val="Table Grid"/>
    <w:basedOn w:val="75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67">
    <w:name w:val="List Paragraph"/>
    <w:basedOn w:val="755"/>
    <w:link w:val="768"/>
    <w:uiPriority w:val="34"/>
    <w:qFormat/>
    <w:pPr>
      <w:contextualSpacing/>
      <w:ind w:left="720"/>
    </w:pPr>
  </w:style>
  <w:style w:type="character" w:styleId="768" w:customStyle="1">
    <w:name w:val="Абзац списка Знак"/>
    <w:link w:val="767"/>
    <w:uiPriority w:val="34"/>
    <w:rPr>
      <w:rFonts w:ascii="Calibri" w:hAnsi="Calibri" w:eastAsia="Times New Roman" w:cs="Times New Roman"/>
    </w:rPr>
  </w:style>
  <w:style w:type="character" w:styleId="769" w:customStyle="1">
    <w:name w:val="Основной текст (2)_"/>
    <w:basedOn w:val="758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styleId="770" w:customStyle="1">
    <w:name w:val="Основной текст (2)"/>
    <w:basedOn w:val="76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styleId="771" w:customStyle="1">
    <w:name w:val="Основной текст (2) + Курсив"/>
    <w:basedOn w:val="769"/>
    <w:rPr>
      <w:rFonts w:ascii="Times New Roman" w:hAnsi="Times New Roman" w:eastAsia="Times New Roman" w:cs="Times New Roman"/>
      <w:b w:val="0"/>
      <w:bCs w:val="0"/>
      <w:i/>
      <w:iCs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styleId="772">
    <w:name w:val="Hyperlink"/>
    <w:basedOn w:val="758"/>
    <w:uiPriority w:val="99"/>
    <w:unhideWhenUsed/>
    <w:rPr>
      <w:color w:val="0000ff" w:themeColor="hyperlink"/>
      <w:u w:val="single"/>
    </w:rPr>
  </w:style>
  <w:style w:type="paragraph" w:styleId="773">
    <w:name w:val="Header"/>
    <w:basedOn w:val="755"/>
    <w:link w:val="774"/>
    <w:uiPriority w:val="99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4"/>
      <w:szCs w:val="24"/>
      <w:lang w:eastAsia="ar-SA"/>
    </w:rPr>
  </w:style>
  <w:style w:type="character" w:styleId="774" w:customStyle="1">
    <w:name w:val="Верхний колонтитул Знак"/>
    <w:basedOn w:val="758"/>
    <w:link w:val="773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775">
    <w:name w:val="footnote text"/>
    <w:basedOn w:val="755"/>
    <w:link w:val="776"/>
    <w:uiPriority w:val="99"/>
    <w:semiHidden/>
    <w:unhideWhenUsed/>
    <w:pPr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styleId="776" w:customStyle="1">
    <w:name w:val="Текст сноски Знак"/>
    <w:basedOn w:val="758"/>
    <w:link w:val="775"/>
    <w:uiPriority w:val="99"/>
    <w:semiHidden/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777" w:customStyle="1">
    <w:name w:val="По умолчанию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Helvetica Neue" w:hAnsi="Helvetica Neue" w:eastAsia="Arial Unicode MS" w:cs="Arial Unicode MS"/>
      <w:color w:val="000000"/>
      <w:lang w:eastAsia="ru-RU"/>
    </w:rPr>
  </w:style>
  <w:style w:type="paragraph" w:styleId="778" w:customStyle="1">
    <w:name w:val="Нумерованный многоуровневый список"/>
    <w:basedOn w:val="767"/>
    <w:link w:val="786"/>
    <w:qFormat/>
    <w:pPr>
      <w:numPr>
        <w:ilvl w:val="0"/>
        <w:numId w:val="30"/>
      </w:numPr>
      <w:jc w:val="both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779">
    <w:name w:val="Balloon Text"/>
    <w:basedOn w:val="755"/>
    <w:link w:val="78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80" w:customStyle="1">
    <w:name w:val="Текст выноски Знак"/>
    <w:basedOn w:val="758"/>
    <w:link w:val="779"/>
    <w:uiPriority w:val="99"/>
    <w:semiHidden/>
    <w:rPr>
      <w:rFonts w:ascii="Tahoma" w:hAnsi="Tahoma" w:eastAsia="Times New Roman" w:cs="Tahoma"/>
      <w:sz w:val="16"/>
      <w:szCs w:val="16"/>
    </w:rPr>
  </w:style>
  <w:style w:type="paragraph" w:styleId="781">
    <w:name w:val="Normal (Web)"/>
    <w:basedOn w:val="75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782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Calibri" w:cs="Arial"/>
      <w:sz w:val="20"/>
      <w:szCs w:val="20"/>
      <w:lang w:eastAsia="ru-RU"/>
    </w:rPr>
  </w:style>
  <w:style w:type="paragraph" w:styleId="783" w:customStyle="1">
    <w:name w:val="ZOI_MAL"/>
    <w:basedOn w:val="756"/>
    <w:uiPriority w:val="99"/>
    <w:qFormat/>
    <w:pPr>
      <w:ind w:left="720" w:hanging="360"/>
      <w:keepLines w:val="0"/>
      <w:keepNext w:val="0"/>
      <w:spacing w:before="120" w:after="120" w:line="240" w:lineRule="auto"/>
    </w:pPr>
    <w:rPr>
      <w:rFonts w:ascii="Times New Roman" w:hAnsi="Times New Roman" w:eastAsia="Times New Roman" w:cs="Times New Roman"/>
      <w:color w:val="auto"/>
      <w:szCs w:val="24"/>
      <w:lang w:eastAsia="ru-RU"/>
    </w:rPr>
  </w:style>
  <w:style w:type="paragraph" w:styleId="784" w:customStyle="1">
    <w:name w:val="Table Paragraph"/>
    <w:basedOn w:val="755"/>
    <w:uiPriority w:val="1"/>
    <w:qFormat/>
    <w:pPr>
      <w:spacing w:after="0" w:line="240" w:lineRule="auto"/>
      <w:widowControl w:val="off"/>
    </w:pPr>
    <w:rPr>
      <w:rFonts w:ascii="Times New Roman" w:hAnsi="Times New Roman"/>
      <w:lang w:eastAsia="ru-RU" w:bidi="ru-RU"/>
    </w:rPr>
  </w:style>
  <w:style w:type="character" w:styleId="785" w:customStyle="1">
    <w:name w:val="Заголовок 1 Знак"/>
    <w:basedOn w:val="758"/>
    <w:link w:val="756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786" w:customStyle="1">
    <w:name w:val="Нумерованный многоуровневый список Знак"/>
    <w:basedOn w:val="758"/>
    <w:link w:val="778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787" w:customStyle="1">
    <w:name w:val="apple-converted-space"/>
    <w:basedOn w:val="758"/>
  </w:style>
  <w:style w:type="paragraph" w:styleId="788" w:customStyle="1">
    <w:name w:val="Содержимое таблицы"/>
    <w:basedOn w:val="755"/>
    <w:pPr>
      <w:spacing w:after="0" w:line="100" w:lineRule="atLeast"/>
      <w:suppressLineNumbers/>
    </w:pPr>
    <w:rPr>
      <w:rFonts w:ascii="Times New Roman" w:hAnsi="Times New Roman"/>
      <w:sz w:val="24"/>
      <w:szCs w:val="24"/>
      <w:lang w:eastAsia="ar-SA"/>
    </w:rPr>
  </w:style>
  <w:style w:type="paragraph" w:styleId="789">
    <w:name w:val="Body Text"/>
    <w:basedOn w:val="755"/>
    <w:link w:val="790"/>
    <w:uiPriority w:val="99"/>
    <w:unhideWhenUsed/>
    <w:pPr>
      <w:spacing w:after="120"/>
    </w:pPr>
    <w:rPr>
      <w:rFonts w:eastAsia="Calibri"/>
    </w:rPr>
  </w:style>
  <w:style w:type="character" w:styleId="790" w:customStyle="1">
    <w:name w:val="Основной текст Знак"/>
    <w:basedOn w:val="758"/>
    <w:link w:val="789"/>
    <w:uiPriority w:val="99"/>
    <w:rPr>
      <w:rFonts w:ascii="Calibri" w:hAnsi="Calibri" w:eastAsia="Calibri" w:cs="Times New Roman"/>
    </w:rPr>
  </w:style>
  <w:style w:type="paragraph" w:styleId="791" w:customStyle="1">
    <w:name w:val="Подпись к таблице"/>
    <w:basedOn w:val="755"/>
    <w:link w:val="792"/>
    <w:qFormat/>
    <w:pPr>
      <w:spacing w:before="60" w:after="60" w:line="240" w:lineRule="auto"/>
    </w:pPr>
    <w:rPr>
      <w:rFonts w:ascii="Verdana" w:hAnsi="Verdana"/>
      <w:sz w:val="24"/>
      <w:szCs w:val="24"/>
    </w:rPr>
  </w:style>
  <w:style w:type="character" w:styleId="792" w:customStyle="1">
    <w:name w:val="Подпись к таблице Знак"/>
    <w:link w:val="791"/>
    <w:rPr>
      <w:rFonts w:ascii="Verdana" w:hAnsi="Verdana" w:eastAsia="Times New Roman" w:cs="Times New Roman"/>
      <w:sz w:val="24"/>
      <w:szCs w:val="24"/>
    </w:rPr>
  </w:style>
  <w:style w:type="paragraph" w:styleId="793">
    <w:name w:val="Footer"/>
    <w:basedOn w:val="755"/>
    <w:link w:val="79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94" w:customStyle="1">
    <w:name w:val="Нижний колонтитул Знак"/>
    <w:basedOn w:val="758"/>
    <w:link w:val="793"/>
    <w:uiPriority w:val="99"/>
    <w:rPr>
      <w:rFonts w:ascii="Calibri" w:hAnsi="Calibri" w:eastAsia="Times New Roman" w:cs="Times New Roman"/>
    </w:rPr>
  </w:style>
  <w:style w:type="character" w:styleId="795">
    <w:name w:val="Emphasis"/>
    <w:qFormat/>
    <w:rPr>
      <w:iCs/>
    </w:rPr>
  </w:style>
  <w:style w:type="character" w:styleId="796" w:customStyle="1">
    <w:name w:val="Основной текст + Полужирный;Курсив"/>
    <w:rPr>
      <w:rFonts w:ascii="Times New Roman" w:hAnsi="Times New Roman" w:eastAsia="Times New Roman" w:cs="Times New Roman"/>
      <w:b/>
      <w:bCs/>
      <w:i/>
      <w:iCs/>
      <w:smallCaps w:val="0"/>
      <w:strike w:val="0"/>
      <w:color w:val="000000"/>
      <w:spacing w:val="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image" Target="media/image1.png"/><Relationship Id="rId12" Type="http://schemas.openxmlformats.org/officeDocument/2006/relationships/image" Target="media/image2.wmf"/><Relationship Id="rId13" Type="http://schemas.openxmlformats.org/officeDocument/2006/relationships/oleObject" Target="embeddings/oleObject1.bin"/><Relationship Id="rId14" Type="http://schemas.openxmlformats.org/officeDocument/2006/relationships/hyperlink" Target="http://biblioclub.ru/" TargetMode="External"/><Relationship Id="rId15" Type="http://schemas.openxmlformats.org/officeDocument/2006/relationships/hyperlink" Target="https://biblioclub.ru/index.php?page=book_red&amp;id=364190" TargetMode="External"/><Relationship Id="rId16" Type="http://schemas.openxmlformats.org/officeDocument/2006/relationships/hyperlink" Target="http://biblioclub.ru/index.php?page=book&amp;id=426827" TargetMode="External"/><Relationship Id="rId17" Type="http://schemas.openxmlformats.org/officeDocument/2006/relationships/hyperlink" Target="https://biblioclub.ru/index.php?page=book&amp;id=561256" TargetMode="External"/><Relationship Id="rId18" Type="http://schemas.openxmlformats.org/officeDocument/2006/relationships/hyperlink" Target="https://biblioclub.ru/index.php?page=book&amp;id=500451" TargetMode="External"/><Relationship Id="rId19" Type="http://schemas.openxmlformats.org/officeDocument/2006/relationships/hyperlink" Target="http://biblioclub.ru/index.php?page=book&amp;id=272301" TargetMode="External"/><Relationship Id="rId20" Type="http://schemas.openxmlformats.org/officeDocument/2006/relationships/hyperlink" Target="http://biblioclub.ru/index.php?page=book&amp;id=571488" TargetMode="External"/><Relationship Id="rId21" Type="http://schemas.openxmlformats.org/officeDocument/2006/relationships/hyperlink" Target="https://www.rsl.ru/" TargetMode="External"/><Relationship Id="rId22" Type="http://schemas.openxmlformats.org/officeDocument/2006/relationships/hyperlink" Target="http://www.AltaVista.ru" TargetMode="External"/><Relationship Id="rId23" Type="http://schemas.openxmlformats.org/officeDocument/2006/relationships/hyperlink" Target="http://www.Aport.ru" TargetMode="External"/><Relationship Id="rId24" Type="http://schemas.openxmlformats.org/officeDocument/2006/relationships/hyperlink" Target="http://5ballov.com.ru" TargetMode="External"/><Relationship Id="rId25" Type="http://schemas.openxmlformats.org/officeDocument/2006/relationships/hyperlink" Target="http://www.curator.ru" TargetMode="External"/><Relationship Id="rId26" Type="http://schemas.openxmlformats.org/officeDocument/2006/relationships/hyperlink" Target="http://www.ed.gov.ru" TargetMode="External"/><Relationship Id="rId27" Type="http://schemas.openxmlformats.org/officeDocument/2006/relationships/hyperlink" Target="http://www.edu.ru" TargetMode="External"/><Relationship Id="rId28" Type="http://schemas.openxmlformats.org/officeDocument/2006/relationships/hyperlink" Target="http://www.edu.-all.ru" TargetMode="External"/><Relationship Id="rId29" Type="http://schemas.openxmlformats.org/officeDocument/2006/relationships/hyperlink" Target="http://www.fipi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>Grizli777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Полина Кошевая</cp:lastModifiedBy>
  <cp:revision>14</cp:revision>
  <dcterms:created xsi:type="dcterms:W3CDTF">2021-02-14T12:06:00Z</dcterms:created>
  <dcterms:modified xsi:type="dcterms:W3CDTF">2024-01-19T15:47:24Z</dcterms:modified>
</cp:coreProperties>
</file>