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DCC" w:rsidRPr="00FF2B69" w:rsidRDefault="00FC7DCC" w:rsidP="00FC7DCC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структурную формулу образования механизма.</w:t>
      </w:r>
    </w:p>
    <w:p w:rsidR="00FC7DCC" w:rsidRPr="006B3CC8" w:rsidRDefault="00FC7DCC" w:rsidP="00FC7DC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6B3CC8">
        <w:rPr>
          <w:b/>
          <w:sz w:val="28"/>
          <w:szCs w:val="28"/>
        </w:rPr>
        <w:t>Образец выполнения задания</w:t>
      </w:r>
    </w:p>
    <w:p w:rsidR="00FC7DCC" w:rsidRDefault="00FC7DCC" w:rsidP="00FC7DCC">
      <w:pPr>
        <w:spacing w:line="360" w:lineRule="auto"/>
        <w:ind w:firstLine="709"/>
        <w:jc w:val="both"/>
        <w:rPr>
          <w:sz w:val="28"/>
          <w:szCs w:val="28"/>
        </w:rPr>
      </w:pPr>
      <w:r w:rsidRPr="00804439">
        <w:rPr>
          <w:i/>
          <w:sz w:val="28"/>
          <w:szCs w:val="28"/>
        </w:rPr>
        <w:t>Пример: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механизме строгального станка, общее количество звеньев </w:t>
      </w:r>
      <w:r>
        <w:rPr>
          <w:i/>
          <w:sz w:val="28"/>
          <w:szCs w:val="28"/>
          <w:lang w:val="en-US"/>
        </w:rPr>
        <w:t>k</w:t>
      </w:r>
      <w:r w:rsidRPr="00B1174A">
        <w:rPr>
          <w:sz w:val="28"/>
          <w:szCs w:val="28"/>
        </w:rPr>
        <w:t>=6</w:t>
      </w:r>
      <w:r>
        <w:rPr>
          <w:sz w:val="28"/>
          <w:szCs w:val="28"/>
        </w:rPr>
        <w:t xml:space="preserve">, а число подвижных звеньев </w:t>
      </w:r>
      <w:r w:rsidRPr="00B1174A">
        <w:rPr>
          <w:i/>
          <w:sz w:val="28"/>
          <w:szCs w:val="28"/>
        </w:rPr>
        <w:t>n</w:t>
      </w:r>
      <w:r>
        <w:rPr>
          <w:sz w:val="28"/>
          <w:szCs w:val="28"/>
        </w:rPr>
        <w:t xml:space="preserve">=5.  </w:t>
      </w:r>
    </w:p>
    <w:p w:rsidR="00FC7DCC" w:rsidRDefault="00FC7DCC" w:rsidP="00FC7DC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Дадим названия звеньям по характеру их движения:</w:t>
      </w:r>
    </w:p>
    <w:p w:rsidR="00FC7DCC" w:rsidRDefault="00FC7DCC" w:rsidP="00FC7DCC">
      <w:pPr>
        <w:spacing w:line="360" w:lineRule="auto"/>
        <w:ind w:firstLine="720"/>
        <w:jc w:val="right"/>
        <w:rPr>
          <w:sz w:val="28"/>
          <w:szCs w:val="28"/>
        </w:rPr>
      </w:pPr>
      <w:r w:rsidRPr="0053281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</w:t>
      </w:r>
      <w:r w:rsidRPr="00532816">
        <w:rPr>
          <w:sz w:val="28"/>
          <w:szCs w:val="28"/>
        </w:rPr>
        <w:t xml:space="preserve">.1.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8"/>
        <w:gridCol w:w="4177"/>
      </w:tblGrid>
      <w:tr w:rsidR="00FC7DCC" w:rsidTr="000137DB">
        <w:tc>
          <w:tcPr>
            <w:tcW w:w="5226" w:type="dxa"/>
          </w:tcPr>
          <w:p w:rsidR="00FC7DCC" w:rsidRPr="003A20F8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Кинематическая схема</w:t>
            </w:r>
          </w:p>
        </w:tc>
        <w:tc>
          <w:tcPr>
            <w:tcW w:w="4345" w:type="dxa"/>
          </w:tcPr>
          <w:p w:rsidR="00FC7DCC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Звенья механизма</w:t>
            </w:r>
          </w:p>
        </w:tc>
      </w:tr>
      <w:tr w:rsidR="00FC7DCC" w:rsidTr="000137DB">
        <w:trPr>
          <w:trHeight w:val="4100"/>
        </w:trPr>
        <w:tc>
          <w:tcPr>
            <w:tcW w:w="5226" w:type="dxa"/>
          </w:tcPr>
          <w:p w:rsidR="00FC7DCC" w:rsidRDefault="00FC7DCC" w:rsidP="000137DB">
            <w:pPr>
              <w:rPr>
                <w:sz w:val="28"/>
                <w:szCs w:val="28"/>
              </w:rPr>
            </w:pPr>
            <w:r w:rsidRPr="003A20F8">
              <w:rPr>
                <w:noProof/>
                <w:sz w:val="28"/>
                <w:szCs w:val="28"/>
              </w:rPr>
              <w:drawing>
                <wp:inline distT="0" distB="0" distL="0" distR="0" wp14:anchorId="11EDEC81" wp14:editId="6F96C11D">
                  <wp:extent cx="2390195" cy="2651119"/>
                  <wp:effectExtent l="19050" t="0" r="0" b="0"/>
                  <wp:docPr id="66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895" cy="26541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5" w:type="dxa"/>
          </w:tcPr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</w:p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кривошип</w:t>
            </w:r>
          </w:p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ползун</w:t>
            </w:r>
          </w:p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– кулиса</w:t>
            </w:r>
          </w:p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– шатун</w:t>
            </w:r>
          </w:p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– ползун</w:t>
            </w:r>
          </w:p>
          <w:p w:rsidR="00FC7DCC" w:rsidRDefault="00FC7DCC" w:rsidP="000137DB">
            <w:pPr>
              <w:spacing w:line="360" w:lineRule="auto"/>
              <w:ind w:firstLine="1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– стойка - неподвижное звено.</w:t>
            </w:r>
          </w:p>
          <w:p w:rsidR="00FC7DCC" w:rsidRDefault="00FC7DCC" w:rsidP="000137DB">
            <w:pPr>
              <w:rPr>
                <w:sz w:val="28"/>
                <w:szCs w:val="28"/>
              </w:rPr>
            </w:pPr>
          </w:p>
        </w:tc>
      </w:tr>
    </w:tbl>
    <w:p w:rsidR="00FC7DCC" w:rsidRDefault="00FC7DCC" w:rsidP="00FC7DCC">
      <w:pPr>
        <w:tabs>
          <w:tab w:val="left" w:pos="2016"/>
        </w:tabs>
        <w:spacing w:line="360" w:lineRule="auto"/>
        <w:ind w:firstLine="709"/>
        <w:rPr>
          <w:sz w:val="28"/>
          <w:szCs w:val="28"/>
        </w:rPr>
      </w:pPr>
    </w:p>
    <w:p w:rsidR="00FC7DCC" w:rsidRPr="00B1174A" w:rsidRDefault="00FC7DCC" w:rsidP="00FC7DCC">
      <w:pPr>
        <w:tabs>
          <w:tab w:val="left" w:pos="2016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Входным звеном является кривошип 1, совершающий вращательное движение, выходным звеном – ползун 5 имеющий поступательное движение.</w:t>
      </w:r>
    </w:p>
    <w:p w:rsidR="00FC7DCC" w:rsidRDefault="00FC7DCC" w:rsidP="00FC7DCC">
      <w:pPr>
        <w:spacing w:line="360" w:lineRule="auto"/>
        <w:ind w:firstLine="709"/>
        <w:jc w:val="both"/>
        <w:rPr>
          <w:sz w:val="28"/>
          <w:szCs w:val="28"/>
        </w:rPr>
      </w:pPr>
      <w:r w:rsidRPr="001B6C60">
        <w:rPr>
          <w:sz w:val="28"/>
          <w:szCs w:val="28"/>
        </w:rPr>
        <w:t xml:space="preserve">Соединение двух соприкасающихся звеньев, допускающее их относительное движение, называется </w:t>
      </w:r>
      <w:r>
        <w:rPr>
          <w:sz w:val="28"/>
          <w:szCs w:val="28"/>
        </w:rPr>
        <w:t>к</w:t>
      </w:r>
      <w:r w:rsidRPr="001B6C60">
        <w:rPr>
          <w:sz w:val="28"/>
          <w:szCs w:val="28"/>
        </w:rPr>
        <w:t>инематическ</w:t>
      </w:r>
      <w:r>
        <w:rPr>
          <w:sz w:val="28"/>
          <w:szCs w:val="28"/>
        </w:rPr>
        <w:t>ой</w:t>
      </w:r>
      <w:r w:rsidRPr="001B6C60">
        <w:rPr>
          <w:sz w:val="28"/>
          <w:szCs w:val="28"/>
        </w:rPr>
        <w:t xml:space="preserve"> пар</w:t>
      </w:r>
      <w:r>
        <w:rPr>
          <w:sz w:val="28"/>
          <w:szCs w:val="28"/>
        </w:rPr>
        <w:t>ой</w:t>
      </w:r>
      <w:r w:rsidRPr="001B6C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B6C60">
        <w:rPr>
          <w:sz w:val="28"/>
          <w:szCs w:val="28"/>
        </w:rPr>
        <w:t>Кинематическая пара в зависимости от характера соприкосновения звеньев может быть низшей или высшей.</w:t>
      </w:r>
    </w:p>
    <w:p w:rsidR="00FC7DCC" w:rsidRDefault="00FC7DCC" w:rsidP="00FC7D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Характеристику</w:t>
      </w:r>
      <w:r w:rsidRPr="00D62DC8">
        <w:rPr>
          <w:sz w:val="28"/>
          <w:szCs w:val="28"/>
        </w:rPr>
        <w:t xml:space="preserve"> кинематических пар</w:t>
      </w:r>
      <w:r>
        <w:rPr>
          <w:sz w:val="28"/>
          <w:szCs w:val="28"/>
        </w:rPr>
        <w:t xml:space="preserve"> сведем в таблицу 1.2.</w:t>
      </w:r>
    </w:p>
    <w:p w:rsidR="00FC7DCC" w:rsidRDefault="00FC7DCC" w:rsidP="00FC7DCC">
      <w:pPr>
        <w:spacing w:line="360" w:lineRule="auto"/>
        <w:ind w:firstLine="720"/>
        <w:jc w:val="right"/>
        <w:rPr>
          <w:sz w:val="28"/>
          <w:szCs w:val="28"/>
        </w:rPr>
      </w:pPr>
      <w:r w:rsidRPr="0053281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</w:t>
      </w:r>
      <w:r w:rsidRPr="0053281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532816">
        <w:rPr>
          <w:sz w:val="28"/>
          <w:szCs w:val="28"/>
        </w:rPr>
        <w:t xml:space="preserve">. </w:t>
      </w:r>
    </w:p>
    <w:tbl>
      <w:tblPr>
        <w:tblStyle w:val="a3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46"/>
        <w:gridCol w:w="2268"/>
        <w:gridCol w:w="3260"/>
        <w:gridCol w:w="2871"/>
      </w:tblGrid>
      <w:tr w:rsidR="00FC7DCC" w:rsidRPr="00045A05" w:rsidTr="000137DB">
        <w:trPr>
          <w:jc w:val="center"/>
        </w:trPr>
        <w:tc>
          <w:tcPr>
            <w:tcW w:w="746" w:type="dxa"/>
            <w:vAlign w:val="center"/>
          </w:tcPr>
          <w:p w:rsidR="00FC7DCC" w:rsidRPr="00045A05" w:rsidRDefault="00FC7DCC" w:rsidP="000137DB">
            <w:pPr>
              <w:spacing w:line="360" w:lineRule="auto"/>
              <w:jc w:val="center"/>
            </w:pPr>
            <w:r w:rsidRPr="00045A05">
              <w:t>Обозначение пары</w:t>
            </w:r>
          </w:p>
        </w:tc>
        <w:tc>
          <w:tcPr>
            <w:tcW w:w="2268" w:type="dxa"/>
            <w:vAlign w:val="center"/>
          </w:tcPr>
          <w:p w:rsidR="00FC7DCC" w:rsidRPr="00045A05" w:rsidRDefault="00FC7DCC" w:rsidP="000137DB">
            <w:pPr>
              <w:spacing w:line="360" w:lineRule="auto"/>
              <w:ind w:firstLine="34"/>
              <w:jc w:val="center"/>
            </w:pPr>
            <w:r w:rsidRPr="00045A05">
              <w:t>Звенья, образующие пару</w:t>
            </w:r>
          </w:p>
        </w:tc>
        <w:tc>
          <w:tcPr>
            <w:tcW w:w="3260" w:type="dxa"/>
            <w:vAlign w:val="center"/>
          </w:tcPr>
          <w:p w:rsidR="00FC7DCC" w:rsidRPr="00045A05" w:rsidRDefault="00FC7DCC" w:rsidP="000137DB">
            <w:pPr>
              <w:spacing w:line="360" w:lineRule="auto"/>
              <w:ind w:firstLine="34"/>
              <w:jc w:val="center"/>
            </w:pPr>
            <w:r w:rsidRPr="00045A05">
              <w:t>Подвижность пары (одно- или двухподвижная), класс пары.</w:t>
            </w:r>
          </w:p>
        </w:tc>
        <w:tc>
          <w:tcPr>
            <w:tcW w:w="2871" w:type="dxa"/>
            <w:vAlign w:val="center"/>
          </w:tcPr>
          <w:p w:rsidR="00FC7DCC" w:rsidRPr="00045A05" w:rsidRDefault="00FC7DCC" w:rsidP="000137DB">
            <w:pPr>
              <w:spacing w:line="360" w:lineRule="auto"/>
              <w:ind w:firstLine="34"/>
              <w:jc w:val="center"/>
            </w:pPr>
            <w:r w:rsidRPr="00045A05">
              <w:t>Какая пара:</w:t>
            </w:r>
          </w:p>
          <w:p w:rsidR="00FC7DCC" w:rsidRPr="00045A05" w:rsidRDefault="00FC7DCC" w:rsidP="000137DB">
            <w:pPr>
              <w:spacing w:line="360" w:lineRule="auto"/>
              <w:ind w:firstLine="34"/>
              <w:jc w:val="center"/>
            </w:pPr>
            <w:r w:rsidRPr="00045A05">
              <w:t xml:space="preserve"> высшая или низшая; вращательная или поступательная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  <w:rPr>
                <w:vertAlign w:val="subscript"/>
              </w:rPr>
            </w:pPr>
            <w:r w:rsidRPr="00045A05">
              <w:lastRenderedPageBreak/>
              <w:t>А</w:t>
            </w:r>
            <w:r w:rsidRPr="00045A05">
              <w:rPr>
                <w:vertAlign w:val="subscript"/>
              </w:rPr>
              <w:t>01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с</w:t>
            </w:r>
            <w:r w:rsidRPr="00045A05">
              <w:t xml:space="preserve">тойка </w:t>
            </w:r>
            <w:r w:rsidRPr="00045A05">
              <w:rPr>
                <w:lang w:val="en-US"/>
              </w:rPr>
              <w:t>–</w:t>
            </w:r>
            <w:r>
              <w:t xml:space="preserve"> к</w:t>
            </w:r>
            <w:r w:rsidRPr="00045A05">
              <w:t>ривошип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в</w:t>
            </w:r>
            <w:r w:rsidRPr="00045A05">
              <w:t>ращательная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  <w:rPr>
                <w:lang w:val="en-US"/>
              </w:rPr>
            </w:pPr>
            <w:r w:rsidRPr="00045A05">
              <w:t>B</w:t>
            </w:r>
            <w:r w:rsidRPr="00045A05">
              <w:rPr>
                <w:vertAlign w:val="subscript"/>
              </w:rPr>
              <w:t>1</w:t>
            </w:r>
            <w:r w:rsidRPr="00045A05">
              <w:rPr>
                <w:vertAlign w:val="subscript"/>
                <w:lang w:val="en-US"/>
              </w:rPr>
              <w:t>2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  <w:rPr>
                <w:lang w:val="en-US"/>
              </w:rPr>
            </w:pPr>
            <w:r>
              <w:t>к</w:t>
            </w:r>
            <w:r w:rsidRPr="00045A05">
              <w:t>ривошип</w:t>
            </w:r>
            <w:r w:rsidRPr="00045A05">
              <w:rPr>
                <w:lang w:val="en-US"/>
              </w:rPr>
              <w:t xml:space="preserve"> –</w:t>
            </w:r>
            <w:r>
              <w:t xml:space="preserve"> п</w:t>
            </w:r>
            <w:r w:rsidRPr="00045A05">
              <w:t>олзун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в</w:t>
            </w:r>
            <w:r w:rsidRPr="00045A05">
              <w:t>ращательная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</w:pPr>
            <w:r w:rsidRPr="00045A05">
              <w:t>B</w:t>
            </w:r>
            <w:r w:rsidRPr="00045A05">
              <w:rPr>
                <w:vertAlign w:val="subscript"/>
                <w:lang w:val="en-US"/>
              </w:rPr>
              <w:t>23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п</w:t>
            </w:r>
            <w:r w:rsidRPr="00045A05">
              <w:t>олзун</w:t>
            </w:r>
            <w:r w:rsidRPr="00045A05">
              <w:rPr>
                <w:lang w:val="en-US"/>
              </w:rPr>
              <w:t xml:space="preserve"> –</w:t>
            </w:r>
            <w:r>
              <w:t xml:space="preserve"> к</w:t>
            </w:r>
            <w:r w:rsidRPr="00045A05">
              <w:t>улиса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п</w:t>
            </w:r>
            <w:r w:rsidRPr="00045A05">
              <w:t>оступательная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</w:pPr>
            <w:r w:rsidRPr="00045A05">
              <w:rPr>
                <w:lang w:val="en-US"/>
              </w:rPr>
              <w:t>C</w:t>
            </w:r>
            <w:r w:rsidRPr="00045A05">
              <w:rPr>
                <w:vertAlign w:val="subscript"/>
                <w:lang w:val="en-US"/>
              </w:rPr>
              <w:t>34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к</w:t>
            </w:r>
            <w:r w:rsidRPr="00045A05">
              <w:t>улиса –</w:t>
            </w:r>
            <w:r>
              <w:t xml:space="preserve"> ш</w:t>
            </w:r>
            <w:r w:rsidRPr="00045A05">
              <w:t>атун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в</w:t>
            </w:r>
            <w:r w:rsidRPr="00045A05">
              <w:t>ращательная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</w:pPr>
            <w:r w:rsidRPr="00045A05">
              <w:rPr>
                <w:lang w:val="en-US"/>
              </w:rPr>
              <w:t>D</w:t>
            </w:r>
            <w:r w:rsidRPr="00045A05">
              <w:rPr>
                <w:vertAlign w:val="subscript"/>
                <w:lang w:val="en-US"/>
              </w:rPr>
              <w:t>45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ш</w:t>
            </w:r>
            <w:r w:rsidRPr="00045A05">
              <w:t>атун –</w:t>
            </w:r>
            <w:r>
              <w:t xml:space="preserve"> п</w:t>
            </w:r>
            <w:r w:rsidRPr="00045A05">
              <w:t>олзун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в</w:t>
            </w:r>
            <w:r w:rsidRPr="00045A05">
              <w:t>ращательная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</w:pPr>
            <w:r w:rsidRPr="00045A05">
              <w:rPr>
                <w:lang w:val="en-US"/>
              </w:rPr>
              <w:t>D</w:t>
            </w:r>
            <w:r w:rsidRPr="00045A05">
              <w:rPr>
                <w:vertAlign w:val="subscript"/>
                <w:lang w:val="en-US"/>
              </w:rPr>
              <w:t>50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п</w:t>
            </w:r>
            <w:r w:rsidRPr="00045A05">
              <w:t>олзун –</w:t>
            </w:r>
            <w:r>
              <w:t xml:space="preserve"> с</w:t>
            </w:r>
            <w:r w:rsidRPr="00045A05">
              <w:t>тойка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п</w:t>
            </w:r>
            <w:r w:rsidRPr="00045A05">
              <w:t>оступательная</w:t>
            </w:r>
          </w:p>
        </w:tc>
      </w:tr>
      <w:tr w:rsidR="00FC7DCC" w:rsidRPr="00045A05" w:rsidTr="000137DB">
        <w:trPr>
          <w:jc w:val="center"/>
        </w:trPr>
        <w:tc>
          <w:tcPr>
            <w:tcW w:w="746" w:type="dxa"/>
          </w:tcPr>
          <w:p w:rsidR="00FC7DCC" w:rsidRPr="00045A05" w:rsidRDefault="00FC7DCC" w:rsidP="000137DB">
            <w:pPr>
              <w:spacing w:line="360" w:lineRule="auto"/>
              <w:jc w:val="center"/>
            </w:pPr>
            <w:r w:rsidRPr="00045A05">
              <w:rPr>
                <w:lang w:val="en-US"/>
              </w:rPr>
              <w:t>E</w:t>
            </w:r>
            <w:r w:rsidRPr="00045A05">
              <w:rPr>
                <w:vertAlign w:val="subscript"/>
                <w:lang w:val="en-US"/>
              </w:rPr>
              <w:t>30</w:t>
            </w:r>
          </w:p>
        </w:tc>
        <w:tc>
          <w:tcPr>
            <w:tcW w:w="2268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к</w:t>
            </w:r>
            <w:r w:rsidRPr="00045A05">
              <w:t>улиса –</w:t>
            </w:r>
            <w:r>
              <w:t xml:space="preserve"> с</w:t>
            </w:r>
            <w:r w:rsidRPr="00045A05">
              <w:t>тойка</w:t>
            </w:r>
          </w:p>
        </w:tc>
        <w:tc>
          <w:tcPr>
            <w:tcW w:w="3260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о</w:t>
            </w:r>
            <w:r w:rsidRPr="00045A05">
              <w:t>дноподвижная</w:t>
            </w:r>
            <w:r>
              <w:t xml:space="preserve">, </w:t>
            </w:r>
            <w:r w:rsidRPr="00045A05">
              <w:t>5 класс (Р</w:t>
            </w:r>
            <w:r w:rsidRPr="00045A05">
              <w:rPr>
                <w:vertAlign w:val="subscript"/>
              </w:rPr>
              <w:t>5</w:t>
            </w:r>
            <w:r w:rsidRPr="00045A05">
              <w:t>)</w:t>
            </w:r>
          </w:p>
        </w:tc>
        <w:tc>
          <w:tcPr>
            <w:tcW w:w="2871" w:type="dxa"/>
          </w:tcPr>
          <w:p w:rsidR="00FC7DCC" w:rsidRPr="00045A05" w:rsidRDefault="00FC7DCC" w:rsidP="000137DB">
            <w:pPr>
              <w:spacing w:line="360" w:lineRule="auto"/>
              <w:ind w:firstLine="34"/>
            </w:pPr>
            <w:r>
              <w:t>н</w:t>
            </w:r>
            <w:r w:rsidRPr="00045A05">
              <w:t>изшая,</w:t>
            </w:r>
            <w:r>
              <w:t xml:space="preserve"> в</w:t>
            </w:r>
            <w:r w:rsidRPr="00045A05">
              <w:t>ращательная</w:t>
            </w:r>
          </w:p>
        </w:tc>
      </w:tr>
    </w:tbl>
    <w:p w:rsidR="00FC7DCC" w:rsidRDefault="00FC7DCC" w:rsidP="00FC7DCC">
      <w:pPr>
        <w:spacing w:line="360" w:lineRule="auto"/>
        <w:ind w:firstLine="720"/>
        <w:jc w:val="right"/>
        <w:rPr>
          <w:sz w:val="28"/>
          <w:szCs w:val="28"/>
        </w:rPr>
      </w:pPr>
    </w:p>
    <w:p w:rsidR="00FC7DCC" w:rsidRDefault="00FC7DCC" w:rsidP="00FC7DCC">
      <w:pPr>
        <w:spacing w:after="60" w:line="360" w:lineRule="auto"/>
        <w:ind w:firstLine="709"/>
        <w:jc w:val="both"/>
        <w:rPr>
          <w:sz w:val="28"/>
          <w:szCs w:val="28"/>
        </w:rPr>
      </w:pPr>
      <w:r w:rsidRPr="00A16667">
        <w:rPr>
          <w:sz w:val="28"/>
          <w:szCs w:val="28"/>
        </w:rPr>
        <w:t>Число степеней свободы плоского механизма, т.е. число степеней свободы его подвижной кинематической цепи относительно стойки, определяется по формуле Чебышева:</w:t>
      </w:r>
    </w:p>
    <w:p w:rsidR="00FC7DCC" w:rsidRPr="00A16667" w:rsidRDefault="00FC7DCC" w:rsidP="00FC7DCC">
      <w:pPr>
        <w:spacing w:after="60" w:line="360" w:lineRule="auto"/>
        <w:ind w:firstLine="709"/>
        <w:rPr>
          <w:sz w:val="28"/>
          <w:szCs w:val="28"/>
        </w:rPr>
      </w:pPr>
      <w:r w:rsidRPr="00A76719">
        <w:rPr>
          <w:position w:val="-12"/>
          <w:sz w:val="28"/>
          <w:szCs w:val="28"/>
        </w:rPr>
        <w:object w:dxaOrig="20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18pt" o:ole="">
            <v:imagedata r:id="rId6" o:title=""/>
          </v:shape>
          <o:OLEObject Type="Embed" ProgID="Equation.3" ShapeID="_x0000_i1025" DrawAspect="Content" ObjectID="_1690614376" r:id="rId7"/>
        </w:object>
      </w:r>
    </w:p>
    <w:p w:rsidR="00FC7DCC" w:rsidRPr="00A16667" w:rsidRDefault="00FC7DCC" w:rsidP="00FC7DCC">
      <w:pPr>
        <w:spacing w:line="360" w:lineRule="auto"/>
        <w:jc w:val="both"/>
        <w:rPr>
          <w:sz w:val="28"/>
          <w:szCs w:val="28"/>
        </w:rPr>
      </w:pPr>
      <w:r w:rsidRPr="00A16667">
        <w:rPr>
          <w:sz w:val="28"/>
          <w:szCs w:val="28"/>
        </w:rPr>
        <w:t>где</w:t>
      </w:r>
      <w:r w:rsidRPr="00A16667">
        <w:rPr>
          <w:sz w:val="28"/>
          <w:szCs w:val="28"/>
        </w:rPr>
        <w:tab/>
      </w:r>
      <w:r w:rsidRPr="00A16667">
        <w:rPr>
          <w:i/>
          <w:sz w:val="28"/>
          <w:szCs w:val="28"/>
          <w:lang w:val="en-US"/>
        </w:rPr>
        <w:t>n</w:t>
      </w:r>
      <w:r w:rsidRPr="00A1666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=5 -</w:t>
      </w:r>
      <w:r w:rsidRPr="00A16667">
        <w:rPr>
          <w:sz w:val="28"/>
          <w:szCs w:val="28"/>
        </w:rPr>
        <w:t xml:space="preserve"> число подвижных звеньев механизма;</w:t>
      </w:r>
    </w:p>
    <w:p w:rsidR="00FC7DCC" w:rsidRPr="00A16667" w:rsidRDefault="00FC7DCC" w:rsidP="00FC7DCC">
      <w:pPr>
        <w:spacing w:line="360" w:lineRule="auto"/>
        <w:jc w:val="both"/>
        <w:rPr>
          <w:sz w:val="28"/>
          <w:szCs w:val="28"/>
        </w:rPr>
      </w:pPr>
      <w:r w:rsidRPr="00A16667">
        <w:rPr>
          <w:i/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</w:rPr>
        <w:t>5</w:t>
      </w:r>
      <w:r w:rsidRPr="00A1666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=7 -</w:t>
      </w:r>
      <w:r w:rsidRPr="00A16667">
        <w:rPr>
          <w:sz w:val="28"/>
          <w:szCs w:val="28"/>
        </w:rPr>
        <w:t xml:space="preserve"> количество одноподвижных кинематических пар </w:t>
      </w:r>
      <w:r>
        <w:rPr>
          <w:sz w:val="28"/>
          <w:szCs w:val="28"/>
        </w:rPr>
        <w:t>5 класса</w:t>
      </w:r>
      <w:r w:rsidRPr="00A16667">
        <w:rPr>
          <w:sz w:val="28"/>
          <w:szCs w:val="28"/>
        </w:rPr>
        <w:t>;</w:t>
      </w:r>
    </w:p>
    <w:p w:rsidR="00FC7DCC" w:rsidRPr="002446A4" w:rsidRDefault="00FC7DCC" w:rsidP="00FC7DCC">
      <w:pPr>
        <w:spacing w:line="360" w:lineRule="auto"/>
        <w:jc w:val="both"/>
        <w:rPr>
          <w:sz w:val="28"/>
          <w:szCs w:val="28"/>
        </w:rPr>
      </w:pPr>
      <w:r w:rsidRPr="00A16667">
        <w:rPr>
          <w:i/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</w:rPr>
        <w:t>4</w:t>
      </w:r>
      <w:r w:rsidRPr="00A1666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=0 -</w:t>
      </w:r>
      <w:r w:rsidRPr="00A16667">
        <w:rPr>
          <w:sz w:val="28"/>
          <w:szCs w:val="28"/>
        </w:rPr>
        <w:t xml:space="preserve"> количество двухподвижных кинематических пар </w:t>
      </w:r>
      <w:r>
        <w:rPr>
          <w:sz w:val="28"/>
          <w:szCs w:val="28"/>
        </w:rPr>
        <w:t>4 класса</w:t>
      </w:r>
      <w:r w:rsidRPr="00A16667">
        <w:rPr>
          <w:sz w:val="28"/>
          <w:szCs w:val="28"/>
        </w:rPr>
        <w:t>.</w:t>
      </w:r>
    </w:p>
    <w:p w:rsidR="00FC7DCC" w:rsidRPr="00D127BE" w:rsidRDefault="00FC7DCC" w:rsidP="00FC7DCC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A76719">
        <w:rPr>
          <w:position w:val="-12"/>
          <w:sz w:val="28"/>
          <w:szCs w:val="28"/>
        </w:rPr>
        <w:object w:dxaOrig="3620" w:dyaOrig="360">
          <v:shape id="_x0000_i1026" type="#_x0000_t75" style="width:180.75pt;height:18pt" o:ole="">
            <v:imagedata r:id="rId8" o:title=""/>
          </v:shape>
          <o:OLEObject Type="Embed" ProgID="Equation.3" ShapeID="_x0000_i1026" DrawAspect="Content" ObjectID="_1690614377" r:id="rId9"/>
        </w:object>
      </w:r>
    </w:p>
    <w:p w:rsidR="00FC7DCC" w:rsidRDefault="00FC7DCC" w:rsidP="00FC7D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Разложим механизм на группы Ассура и определим их класс и порядок.</w:t>
      </w:r>
    </w:p>
    <w:p w:rsidR="00FC7DCC" w:rsidRDefault="00FC7DCC" w:rsidP="00FC7D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Характеристику</w:t>
      </w:r>
      <w:r w:rsidRPr="00D62DC8">
        <w:rPr>
          <w:sz w:val="28"/>
          <w:szCs w:val="28"/>
        </w:rPr>
        <w:t xml:space="preserve"> </w:t>
      </w:r>
      <w:r>
        <w:rPr>
          <w:sz w:val="28"/>
          <w:szCs w:val="28"/>
        </w:rPr>
        <w:t>групп Ассура  и начального звена сведем в таблицу 1.3.</w:t>
      </w:r>
    </w:p>
    <w:p w:rsidR="00FC7DCC" w:rsidRPr="00C46EF3" w:rsidRDefault="00FC7DCC" w:rsidP="00FC7DCC">
      <w:pPr>
        <w:spacing w:line="360" w:lineRule="auto"/>
        <w:ind w:firstLine="720"/>
        <w:jc w:val="right"/>
        <w:rPr>
          <w:sz w:val="28"/>
          <w:szCs w:val="28"/>
        </w:rPr>
      </w:pPr>
      <w:r w:rsidRPr="0053281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</w:t>
      </w:r>
      <w:r w:rsidRPr="0053281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532816">
        <w:rPr>
          <w:sz w:val="28"/>
          <w:szCs w:val="28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16"/>
        <w:gridCol w:w="3929"/>
      </w:tblGrid>
      <w:tr w:rsidR="00FC7DCC" w:rsidTr="000137DB">
        <w:tc>
          <w:tcPr>
            <w:tcW w:w="5076" w:type="dxa"/>
          </w:tcPr>
          <w:p w:rsidR="00FC7DCC" w:rsidRDefault="00FC7DCC" w:rsidP="000137D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57B74D8" wp14:editId="6C3E26F5">
                  <wp:extent cx="3057525" cy="1060450"/>
                  <wp:effectExtent l="19050" t="0" r="9525" b="0"/>
                  <wp:docPr id="26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5" w:type="dxa"/>
          </w:tcPr>
          <w:p w:rsidR="00FC7DCC" w:rsidRPr="00E01F9C" w:rsidRDefault="00FC7DCC" w:rsidP="000137DB">
            <w:pPr>
              <w:rPr>
                <w:sz w:val="28"/>
                <w:szCs w:val="28"/>
              </w:rPr>
            </w:pPr>
            <w:r w:rsidRPr="00E01F9C">
              <w:rPr>
                <w:sz w:val="28"/>
                <w:szCs w:val="28"/>
              </w:rPr>
              <w:t>Группа Ассура</w:t>
            </w:r>
            <w:r>
              <w:rPr>
                <w:sz w:val="28"/>
                <w:szCs w:val="28"/>
              </w:rPr>
              <w:t xml:space="preserve"> №1</w:t>
            </w:r>
          </w:p>
          <w:p w:rsidR="00FC7DCC" w:rsidRPr="00E01F9C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 – II</w:t>
            </w:r>
          </w:p>
          <w:p w:rsidR="00FC7DCC" w:rsidRPr="00E01F9C" w:rsidRDefault="00FC7DCC" w:rsidP="000137DB">
            <w:pPr>
              <w:rPr>
                <w:sz w:val="28"/>
                <w:szCs w:val="28"/>
              </w:rPr>
            </w:pPr>
            <w:r w:rsidRPr="00E01F9C">
              <w:rPr>
                <w:sz w:val="28"/>
                <w:szCs w:val="28"/>
              </w:rPr>
              <w:t>Порядок</w:t>
            </w:r>
            <w:r>
              <w:rPr>
                <w:sz w:val="28"/>
                <w:szCs w:val="28"/>
              </w:rPr>
              <w:t xml:space="preserve"> - 2</w:t>
            </w:r>
          </w:p>
        </w:tc>
      </w:tr>
      <w:tr w:rsidR="00FC7DCC" w:rsidTr="000137DB">
        <w:tc>
          <w:tcPr>
            <w:tcW w:w="5076" w:type="dxa"/>
          </w:tcPr>
          <w:p w:rsidR="00FC7DCC" w:rsidRDefault="00FC7DCC" w:rsidP="000137DB">
            <w:pPr>
              <w:rPr>
                <w:noProof/>
                <w:sz w:val="28"/>
                <w:szCs w:val="28"/>
              </w:rPr>
            </w:pPr>
            <w:r>
              <w:lastRenderedPageBreak/>
              <w:t xml:space="preserve"> </w:t>
            </w:r>
            <w:r>
              <w:object w:dxaOrig="2625" w:dyaOrig="4110">
                <v:shape id="_x0000_i1027" type="#_x0000_t75" style="width:131.25pt;height:204.75pt" o:ole="">
                  <v:imagedata r:id="rId11" o:title=""/>
                </v:shape>
                <o:OLEObject Type="Embed" ProgID="PBrush" ShapeID="_x0000_i1027" DrawAspect="Content" ObjectID="_1690614378" r:id="rId12"/>
              </w:object>
            </w:r>
          </w:p>
        </w:tc>
        <w:tc>
          <w:tcPr>
            <w:tcW w:w="4495" w:type="dxa"/>
          </w:tcPr>
          <w:p w:rsidR="00FC7DCC" w:rsidRPr="00E01F9C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Ассура №2</w:t>
            </w:r>
          </w:p>
          <w:p w:rsidR="00FC7DCC" w:rsidRPr="00E01F9C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 – II</w:t>
            </w:r>
          </w:p>
          <w:p w:rsidR="00FC7DCC" w:rsidRDefault="00FC7DCC" w:rsidP="000137DB">
            <w:pPr>
              <w:rPr>
                <w:sz w:val="28"/>
                <w:szCs w:val="28"/>
              </w:rPr>
            </w:pPr>
            <w:r w:rsidRPr="00E01F9C">
              <w:rPr>
                <w:sz w:val="28"/>
                <w:szCs w:val="28"/>
              </w:rPr>
              <w:t>Порядок</w:t>
            </w:r>
            <w:r>
              <w:rPr>
                <w:sz w:val="28"/>
                <w:szCs w:val="28"/>
              </w:rPr>
              <w:t xml:space="preserve"> - 2</w:t>
            </w:r>
          </w:p>
        </w:tc>
      </w:tr>
      <w:tr w:rsidR="00FC7DCC" w:rsidTr="000137DB">
        <w:tc>
          <w:tcPr>
            <w:tcW w:w="5076" w:type="dxa"/>
          </w:tcPr>
          <w:p w:rsidR="00FC7DCC" w:rsidRDefault="00FC7DCC" w:rsidP="000137DB">
            <w:pPr>
              <w:rPr>
                <w:noProof/>
                <w:sz w:val="28"/>
                <w:szCs w:val="28"/>
              </w:rPr>
            </w:pPr>
            <w:r>
              <w:t xml:space="preserve"> </w:t>
            </w:r>
            <w:r>
              <w:object w:dxaOrig="1890" w:dyaOrig="1755">
                <v:shape id="_x0000_i1028" type="#_x0000_t75" style="width:94.5pt;height:87.75pt" o:ole="">
                  <v:imagedata r:id="rId13" o:title=""/>
                </v:shape>
                <o:OLEObject Type="Embed" ProgID="PBrush" ShapeID="_x0000_i1028" DrawAspect="Content" ObjectID="_1690614379" r:id="rId14"/>
              </w:object>
            </w:r>
          </w:p>
        </w:tc>
        <w:tc>
          <w:tcPr>
            <w:tcW w:w="4495" w:type="dxa"/>
          </w:tcPr>
          <w:p w:rsidR="00FC7DCC" w:rsidRPr="00E01F9C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Исходный механизм</w:t>
            </w:r>
          </w:p>
          <w:p w:rsidR="00FC7DCC" w:rsidRPr="00E01F9C" w:rsidRDefault="00FC7DCC" w:rsidP="000137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 – I</w:t>
            </w:r>
          </w:p>
          <w:p w:rsidR="00FC7DCC" w:rsidRDefault="00FC7DCC" w:rsidP="000137DB">
            <w:pPr>
              <w:rPr>
                <w:sz w:val="28"/>
                <w:szCs w:val="28"/>
              </w:rPr>
            </w:pPr>
          </w:p>
        </w:tc>
      </w:tr>
    </w:tbl>
    <w:p w:rsidR="00FC7DCC" w:rsidRDefault="00FC7DCC" w:rsidP="00FC7DCC">
      <w:pPr>
        <w:spacing w:line="360" w:lineRule="auto"/>
        <w:ind w:firstLine="720"/>
        <w:jc w:val="both"/>
        <w:rPr>
          <w:sz w:val="28"/>
          <w:szCs w:val="28"/>
        </w:rPr>
      </w:pPr>
    </w:p>
    <w:p w:rsidR="00FC7DCC" w:rsidRDefault="00FC7DCC" w:rsidP="00FC7DC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Структурная формула образования механизма тогда запишется так:</w:t>
      </w:r>
    </w:p>
    <w:p w:rsidR="00FC7DCC" w:rsidRDefault="00FC7DCC" w:rsidP="00FC7DCC">
      <w:pPr>
        <w:spacing w:line="360" w:lineRule="auto"/>
        <w:ind w:firstLine="720"/>
        <w:jc w:val="both"/>
        <w:rPr>
          <w:sz w:val="28"/>
          <w:szCs w:val="28"/>
        </w:rPr>
      </w:pPr>
      <w:r w:rsidRPr="00346764">
        <w:rPr>
          <w:position w:val="-6"/>
          <w:sz w:val="28"/>
          <w:szCs w:val="28"/>
        </w:rPr>
        <w:object w:dxaOrig="1180" w:dyaOrig="260">
          <v:shape id="_x0000_i1029" type="#_x0000_t75" style="width:58.5pt;height:13.5pt" o:ole="">
            <v:imagedata r:id="rId15" o:title=""/>
          </v:shape>
          <o:OLEObject Type="Embed" ProgID="Equation.3" ShapeID="_x0000_i1029" DrawAspect="Content" ObjectID="_1690614380" r:id="rId16"/>
        </w:object>
      </w:r>
      <w:r>
        <w:rPr>
          <w:sz w:val="28"/>
          <w:szCs w:val="28"/>
        </w:rPr>
        <w:t>, механизм II класса. Класс механизму присваивается по наивысшему классу группы Ассура.</w:t>
      </w:r>
    </w:p>
    <w:p w:rsidR="00FC7DCC" w:rsidRPr="0086101C" w:rsidRDefault="00FC7DCC" w:rsidP="00FC7DCC">
      <w:pPr>
        <w:widowControl w:val="0"/>
        <w:tabs>
          <w:tab w:val="left" w:pos="1440"/>
        </w:tabs>
        <w:spacing w:line="360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86101C">
        <w:rPr>
          <w:rFonts w:eastAsia="Calibri"/>
          <w:color w:val="000000"/>
          <w:sz w:val="28"/>
          <w:szCs w:val="28"/>
        </w:rPr>
        <w:t>Если в механизме имеются пары четвертого класса, их следует заменить кинематической цепью, состоящей из пар пятого класса.</w:t>
      </w:r>
    </w:p>
    <w:p w:rsidR="00FC7DCC" w:rsidRPr="0086101C" w:rsidRDefault="00FC7DCC" w:rsidP="00FC7DCC">
      <w:pPr>
        <w:widowControl w:val="0"/>
        <w:tabs>
          <w:tab w:val="left" w:pos="1440"/>
        </w:tabs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 xml:space="preserve">При такой замене должно удовлетворяться условие: механизм, полученный после замены, должен обладать прежней степенью подвижности и сохранять  относительные в рассматриваемом положении движения всех его звеньев. </w:t>
      </w:r>
    </w:p>
    <w:p w:rsidR="00FC7DCC" w:rsidRPr="0086101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 xml:space="preserve">На рисунке 1 показаны примеры замены высших кинематических пар низшими парами. </w:t>
      </w:r>
    </w:p>
    <w:p w:rsidR="00FC7DCC" w:rsidRPr="0086101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>Для образования заменяющего механизма любую из высших кинематических пар заменяют одним звеном и двумя низшими кинематическими парами.</w:t>
      </w:r>
    </w:p>
    <w:p w:rsidR="00FC7DCC" w:rsidRPr="0086101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>Замену следует производить таким образом: в точке касания профилей проводится к ним нормаль, на которой находятся центры кривизны</w:t>
      </w:r>
      <w:r w:rsidRPr="0086101C">
        <w:rPr>
          <w:i/>
          <w:smallCaps/>
          <w:snapToGrid w:val="0"/>
          <w:color w:val="00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mallCaps/>
                <w:snapToGrid w:val="0"/>
                <w:color w:val="000000"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mallCaps/>
            <w:snapToGrid w:val="0"/>
            <w:color w:val="000000"/>
            <w:sz w:val="28"/>
            <w:szCs w:val="28"/>
          </w:rPr>
          <m:t xml:space="preserve"> </m:t>
        </m:r>
      </m:oMath>
      <w:r w:rsidRPr="0086101C">
        <w:rPr>
          <w:snapToGrid w:val="0"/>
          <w:color w:val="000000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/>
                <w:i/>
                <w:smallCaps/>
                <w:snapToGrid w:val="0"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2</m:t>
            </m:r>
          </m:sub>
        </m:sSub>
      </m:oMath>
      <w:r w:rsidRPr="0086101C">
        <w:rPr>
          <w:smallCaps/>
          <w:snapToGrid w:val="0"/>
          <w:color w:val="000000"/>
          <w:sz w:val="28"/>
          <w:szCs w:val="28"/>
        </w:rPr>
        <w:t xml:space="preserve"> </w:t>
      </w:r>
      <w:r w:rsidRPr="0086101C">
        <w:rPr>
          <w:snapToGrid w:val="0"/>
          <w:color w:val="000000"/>
          <w:sz w:val="28"/>
          <w:szCs w:val="28"/>
        </w:rPr>
        <w:t xml:space="preserve">кривых, образующих эти профили. Точки </w:t>
      </w:r>
      <m:oMath>
        <m:sSub>
          <m:sSubPr>
            <m:ctrlPr>
              <w:rPr>
                <w:rFonts w:ascii="Cambria Math" w:hAnsi="Cambria Math"/>
                <w:i/>
                <w:smallCaps/>
                <w:snapToGrid w:val="0"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1</m:t>
            </m:r>
          </m:sub>
        </m:sSub>
      </m:oMath>
      <w:r w:rsidRPr="0086101C">
        <w:rPr>
          <w:snapToGrid w:val="0"/>
          <w:color w:val="000000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mallCaps/>
                <w:snapToGrid w:val="0"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mallCaps/>
                <w:snapToGrid w:val="0"/>
                <w:color w:val="000000"/>
                <w:sz w:val="28"/>
                <w:szCs w:val="28"/>
              </w:rPr>
              <m:t>2</m:t>
            </m:r>
          </m:sub>
        </m:sSub>
      </m:oMath>
      <w:r w:rsidRPr="0086101C">
        <w:rPr>
          <w:snapToGrid w:val="0"/>
          <w:color w:val="000000"/>
          <w:sz w:val="28"/>
          <w:szCs w:val="28"/>
        </w:rPr>
        <w:t xml:space="preserve"> обозначают центры </w:t>
      </w:r>
      <w:r w:rsidRPr="0086101C">
        <w:rPr>
          <w:snapToGrid w:val="0"/>
          <w:color w:val="000000"/>
          <w:sz w:val="28"/>
          <w:szCs w:val="28"/>
        </w:rPr>
        <w:lastRenderedPageBreak/>
        <w:t>шарниров, которые потом соединя</w:t>
      </w:r>
      <w:r w:rsidRPr="0086101C">
        <w:rPr>
          <w:snapToGrid w:val="0"/>
          <w:color w:val="000000"/>
          <w:sz w:val="28"/>
          <w:szCs w:val="28"/>
        </w:rPr>
        <w:softHyphen/>
        <w:t>ются условным звеном 3. Заменяющий механизм показан на схемах оранжевым цветом.</w:t>
      </w:r>
    </w:p>
    <w:p w:rsidR="00FC7DCC" w:rsidRPr="0086101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>Если один из соприкасающихся профилей представляет собой прямую, то центр кривизны этого профиля</w:t>
      </w:r>
      <w:r w:rsidRPr="0086101C">
        <w:rPr>
          <w:snapToGrid w:val="0"/>
          <w:color w:val="000000"/>
          <w:sz w:val="28"/>
          <w:szCs w:val="28"/>
        </w:rPr>
        <w:tab/>
        <w:t xml:space="preserve">будет бесконечно удален, и вращательная пара переходит в поступательную. </w:t>
      </w:r>
    </w:p>
    <w:p w:rsidR="00FC7DCC" w:rsidRPr="0086101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 xml:space="preserve">В случаях </w:t>
      </w:r>
      <w:r w:rsidRPr="0086101C">
        <w:rPr>
          <w:i/>
          <w:snapToGrid w:val="0"/>
          <w:color w:val="000000"/>
          <w:sz w:val="28"/>
          <w:szCs w:val="28"/>
        </w:rPr>
        <w:t>а</w:t>
      </w:r>
      <w:r w:rsidRPr="0086101C">
        <w:rPr>
          <w:snapToGrid w:val="0"/>
          <w:color w:val="000000"/>
          <w:sz w:val="28"/>
          <w:szCs w:val="28"/>
        </w:rPr>
        <w:t xml:space="preserve"> и </w:t>
      </w:r>
      <w:r w:rsidRPr="0086101C">
        <w:rPr>
          <w:i/>
          <w:snapToGrid w:val="0"/>
          <w:color w:val="000000"/>
          <w:sz w:val="28"/>
          <w:szCs w:val="28"/>
        </w:rPr>
        <w:t>б</w:t>
      </w:r>
      <w:r w:rsidRPr="0086101C">
        <w:rPr>
          <w:snapToGrid w:val="0"/>
          <w:color w:val="000000"/>
          <w:sz w:val="28"/>
          <w:szCs w:val="28"/>
        </w:rPr>
        <w:t xml:space="preserve"> замена производится на две вращательные пары </w:t>
      </w:r>
      <m:oMath>
        <m:sSub>
          <m:sSubPr>
            <m:ctrlPr>
              <w:rPr>
                <w:rFonts w:ascii="Cambria Math" w:hAnsi="Cambria Math"/>
                <w:snapToGrid w:val="0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napToGrid w:val="0"/>
                <w:color w:val="000000"/>
                <w:sz w:val="28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napToGrid w:val="0"/>
                <w:color w:val="000000"/>
                <w:sz w:val="28"/>
                <w:szCs w:val="28"/>
              </w:rPr>
              <m:t>1</m:t>
            </m:r>
          </m:sub>
        </m:sSub>
      </m:oMath>
      <w:r w:rsidRPr="0086101C">
        <w:rPr>
          <w:snapToGrid w:val="0"/>
          <w:color w:val="000000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snapToGrid w:val="0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napToGrid w:val="0"/>
                <w:color w:val="000000"/>
                <w:sz w:val="28"/>
                <w:szCs w:val="28"/>
              </w:rPr>
              <m:t>О</m:t>
            </m:r>
          </m:e>
          <m:sub>
            <m:r>
              <m:rPr>
                <m:sty m:val="p"/>
              </m:rPr>
              <w:rPr>
                <w:rFonts w:ascii="Cambria Math" w:hAnsi="Cambria Math"/>
                <w:snapToGrid w:val="0"/>
                <w:color w:val="000000"/>
                <w:sz w:val="28"/>
                <w:szCs w:val="28"/>
              </w:rPr>
              <m:t>2</m:t>
            </m:r>
          </m:sub>
        </m:sSub>
      </m:oMath>
      <w:r w:rsidRPr="0086101C">
        <w:rPr>
          <w:snapToGrid w:val="0"/>
          <w:color w:val="000000"/>
          <w:sz w:val="28"/>
          <w:szCs w:val="28"/>
        </w:rPr>
        <w:t xml:space="preserve"> и звено 3. В случаях </w:t>
      </w:r>
      <w:r w:rsidRPr="0086101C">
        <w:rPr>
          <w:i/>
          <w:snapToGrid w:val="0"/>
          <w:color w:val="000000"/>
          <w:sz w:val="28"/>
          <w:szCs w:val="28"/>
        </w:rPr>
        <w:t>в</w:t>
      </w:r>
      <w:r w:rsidRPr="0086101C">
        <w:rPr>
          <w:snapToGrid w:val="0"/>
          <w:color w:val="000000"/>
          <w:sz w:val="28"/>
          <w:szCs w:val="28"/>
        </w:rPr>
        <w:t xml:space="preserve"> и </w:t>
      </w:r>
      <w:r w:rsidRPr="0086101C">
        <w:rPr>
          <w:i/>
          <w:snapToGrid w:val="0"/>
          <w:color w:val="000000"/>
          <w:sz w:val="28"/>
          <w:szCs w:val="28"/>
        </w:rPr>
        <w:t xml:space="preserve">г – </w:t>
      </w:r>
      <w:r w:rsidRPr="0086101C">
        <w:rPr>
          <w:snapToGrid w:val="0"/>
          <w:color w:val="000000"/>
          <w:sz w:val="28"/>
          <w:szCs w:val="28"/>
        </w:rPr>
        <w:t>на одну вращательную и одну поступательную низшие кинематические пары и условное звено.</w:t>
      </w:r>
    </w:p>
    <w:p w:rsidR="00FC7DCC" w:rsidRDefault="00FC7DCC" w:rsidP="00FC7DCC">
      <w:pPr>
        <w:widowControl w:val="0"/>
        <w:spacing w:line="360" w:lineRule="auto"/>
        <w:ind w:firstLine="709"/>
        <w:contextualSpacing/>
        <w:jc w:val="both"/>
        <w:rPr>
          <w:noProof/>
        </w:rPr>
      </w:pPr>
      <w:r>
        <w:rPr>
          <w:noProof/>
        </w:rPr>
        <w:drawing>
          <wp:inline distT="0" distB="0" distL="0" distR="0" wp14:anchorId="27697074" wp14:editId="130BD7E7">
            <wp:extent cx="2201875" cy="1721370"/>
            <wp:effectExtent l="0" t="0" r="0" b="0"/>
            <wp:docPr id="43008" name="Рисунок 43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767" cy="17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48667084" wp14:editId="1CF74941">
            <wp:extent cx="1077236" cy="2004365"/>
            <wp:effectExtent l="0" t="0" r="0" b="0"/>
            <wp:docPr id="43009" name="Рисунок 43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444" cy="200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DCC" w:rsidRPr="0086101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>
        <w:rPr>
          <w:noProof/>
        </w:rPr>
        <w:t xml:space="preserve">                      </w:t>
      </w:r>
      <w:r>
        <w:rPr>
          <w:i/>
          <w:snapToGrid w:val="0"/>
          <w:color w:val="000000"/>
          <w:sz w:val="28"/>
          <w:szCs w:val="28"/>
        </w:rPr>
        <w:t xml:space="preserve"> а)                                           </w:t>
      </w:r>
      <w:r w:rsidRPr="0086101C">
        <w:rPr>
          <w:i/>
          <w:snapToGrid w:val="0"/>
          <w:color w:val="000000"/>
          <w:sz w:val="28"/>
          <w:szCs w:val="28"/>
        </w:rPr>
        <w:t>б</w:t>
      </w:r>
      <w:r>
        <w:rPr>
          <w:i/>
          <w:snapToGrid w:val="0"/>
          <w:color w:val="000000"/>
          <w:sz w:val="28"/>
          <w:szCs w:val="28"/>
        </w:rPr>
        <w:t xml:space="preserve">) </w:t>
      </w:r>
    </w:p>
    <w:p w:rsidR="00FC7DCC" w:rsidRDefault="00FC7DCC" w:rsidP="00FC7D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5C1F929" wp14:editId="0D807CBA">
            <wp:extent cx="1682496" cy="2270425"/>
            <wp:effectExtent l="0" t="0" r="0" b="0"/>
            <wp:docPr id="43012" name="Рисунок 43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648" cy="227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>
        <w:rPr>
          <w:noProof/>
          <w:sz w:val="28"/>
          <w:szCs w:val="28"/>
        </w:rPr>
        <w:drawing>
          <wp:inline distT="0" distB="0" distL="0" distR="0" wp14:anchorId="153DB574" wp14:editId="7B66DA5C">
            <wp:extent cx="1837783" cy="2150668"/>
            <wp:effectExtent l="0" t="0" r="0" b="0"/>
            <wp:docPr id="43013" name="Рисунок 43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848" cy="215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DCC" w:rsidRDefault="00FC7DCC" w:rsidP="00FC7DCC">
      <w:pPr>
        <w:spacing w:line="360" w:lineRule="auto"/>
        <w:ind w:firstLine="709"/>
        <w:jc w:val="both"/>
        <w:rPr>
          <w:i/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i/>
          <w:snapToGrid w:val="0"/>
          <w:color w:val="000000"/>
          <w:sz w:val="28"/>
          <w:szCs w:val="28"/>
        </w:rPr>
        <w:t>в)                                                    г)</w:t>
      </w:r>
    </w:p>
    <w:p w:rsidR="00FC7DCC" w:rsidRDefault="00FC7DCC" w:rsidP="00FC7DC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i/>
          <w:snapToGrid w:val="0"/>
          <w:color w:val="000000"/>
          <w:sz w:val="28"/>
          <w:szCs w:val="28"/>
        </w:rPr>
        <w:t>Рис. 1</w:t>
      </w:r>
    </w:p>
    <w:p w:rsidR="00FC7DCC" w:rsidRDefault="00FC7DCC" w:rsidP="00FC7DCC">
      <w:pPr>
        <w:spacing w:line="360" w:lineRule="auto"/>
        <w:rPr>
          <w:sz w:val="28"/>
          <w:szCs w:val="28"/>
        </w:rPr>
      </w:pPr>
    </w:p>
    <w:p w:rsidR="00FC7DCC" w:rsidRDefault="00FC7DCC" w:rsidP="00FC7DCC">
      <w:pPr>
        <w:widowControl w:val="0"/>
        <w:spacing w:line="360" w:lineRule="auto"/>
        <w:ind w:firstLine="709"/>
        <w:contextualSpacing/>
        <w:jc w:val="both"/>
        <w:rPr>
          <w:snapToGrid w:val="0"/>
          <w:color w:val="000000"/>
          <w:sz w:val="28"/>
          <w:szCs w:val="28"/>
        </w:rPr>
      </w:pPr>
      <w:r w:rsidRPr="0086101C">
        <w:rPr>
          <w:snapToGrid w:val="0"/>
          <w:color w:val="000000"/>
          <w:sz w:val="28"/>
          <w:szCs w:val="28"/>
        </w:rPr>
        <w:t xml:space="preserve">Степень подвижности всех механизмов после замены не </w:t>
      </w:r>
      <w:r>
        <w:rPr>
          <w:snapToGrid w:val="0"/>
          <w:color w:val="000000"/>
          <w:sz w:val="28"/>
          <w:szCs w:val="28"/>
        </w:rPr>
        <w:t>должна измениться</w:t>
      </w:r>
      <w:r w:rsidRPr="0086101C">
        <w:rPr>
          <w:snapToGrid w:val="0"/>
          <w:color w:val="000000"/>
          <w:sz w:val="28"/>
          <w:szCs w:val="28"/>
        </w:rPr>
        <w:t>.</w:t>
      </w:r>
    </w:p>
    <w:p w:rsidR="00591628" w:rsidRDefault="00591628">
      <w:bookmarkStart w:id="0" w:name="_GoBack"/>
      <w:bookmarkEnd w:id="0"/>
    </w:p>
    <w:sectPr w:rsidR="00591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B74EE"/>
    <w:multiLevelType w:val="hybridMultilevel"/>
    <w:tmpl w:val="37BA47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A7"/>
    <w:rsid w:val="00591628"/>
    <w:rsid w:val="00D365A7"/>
    <w:rsid w:val="00FC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4B65C-F165-4ECA-8528-81238B7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7DCC"/>
    <w:pPr>
      <w:spacing w:after="6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wmf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2021-08-16T06:17:00Z</dcterms:created>
  <dcterms:modified xsi:type="dcterms:W3CDTF">2021-08-16T06:17:00Z</dcterms:modified>
</cp:coreProperties>
</file>