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C1AF5" w:rsidRPr="000C1AF5" w:rsidRDefault="000C1AF5" w:rsidP="000C1AF5">
      <w:pPr>
        <w:shd w:val="clear" w:color="auto" w:fill="1874CD"/>
        <w:spacing w:beforeAutospacing="1" w:after="300" w:line="240" w:lineRule="auto"/>
        <w:jc w:val="both"/>
        <w:outlineLvl w:val="0"/>
        <w:rPr>
          <w:rFonts w:ascii="Arial" w:eastAsia="Times New Roman" w:hAnsi="Arial" w:cs="Arial"/>
          <w:b/>
          <w:bCs/>
          <w:color w:val="FFFFFF"/>
          <w:kern w:val="36"/>
          <w:sz w:val="36"/>
          <w:szCs w:val="36"/>
          <w:lang w:eastAsia="ru-RU"/>
        </w:rPr>
      </w:pPr>
      <w:r w:rsidRPr="000C1AF5">
        <w:rPr>
          <w:rFonts w:ascii="Arial" w:eastAsia="Times New Roman" w:hAnsi="Arial" w:cs="Arial"/>
          <w:b/>
          <w:bCs/>
          <w:color w:val="FFFFFF"/>
          <w:kern w:val="36"/>
          <w:sz w:val="36"/>
          <w:szCs w:val="36"/>
          <w:lang w:eastAsia="ru-RU"/>
        </w:rPr>
        <w:t>Практические работы № 1-2. Стандарты и методологии создания и эксплуатации информационных систем</w:t>
      </w:r>
    </w:p>
    <w:p w:rsidR="000C1AF5" w:rsidRPr="000C1AF5" w:rsidRDefault="000C1AF5" w:rsidP="000C1AF5">
      <w:pPr>
        <w:pBdr>
          <w:bottom w:val="single" w:sz="6" w:space="8" w:color="999999"/>
        </w:pBdr>
        <w:shd w:val="clear" w:color="auto" w:fill="FFFFFF"/>
        <w:spacing w:before="100" w:beforeAutospacing="1" w:after="100" w:line="240" w:lineRule="auto"/>
        <w:jc w:val="both"/>
        <w:outlineLvl w:val="1"/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</w:pPr>
      <w:r w:rsidRPr="000C1AF5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>1. Цель работы</w:t>
      </w:r>
    </w:p>
    <w:p w:rsidR="000C1AF5" w:rsidRPr="000C1AF5" w:rsidRDefault="000C1AF5" w:rsidP="000C1AF5">
      <w:pPr>
        <w:shd w:val="clear" w:color="auto" w:fill="FFFFFF"/>
        <w:spacing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C1AF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Изучение российских и международных стандартов, регламентирующих создание, эксплуатацию и аудит ИС.</w:t>
      </w:r>
    </w:p>
    <w:p w:rsidR="000C1AF5" w:rsidRDefault="000C1AF5" w:rsidP="000C1AF5">
      <w:pPr>
        <w:pStyle w:val="2"/>
        <w:pBdr>
          <w:bottom w:val="single" w:sz="6" w:space="8" w:color="999999"/>
        </w:pBdr>
        <w:shd w:val="clear" w:color="auto" w:fill="FFFFFF"/>
        <w:spacing w:after="0" w:afterAutospacing="0"/>
        <w:jc w:val="both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</w:rPr>
        <w:t>2. Теоретические сведения</w:t>
      </w:r>
    </w:p>
    <w:p w:rsidR="000C1AF5" w:rsidRDefault="000C1AF5" w:rsidP="000C1AF5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При принятии решения о реализации любого проекта по внедрению информационной системы (ИС) важной задачей является оценка эффективности инвестиций в такой проект. Кроме того, существует необходимость в реализации единой ИТ-стратегии предприятия, которая позволит адекватно сочетать развитие как программной, так и аппаратной части системы параллельно с комплексом работ по развитию существующей ИТ-инфраструктуры. В данном случае становится актуальной проблема жизненного цикла, как комплекса программных средств, так и самой ИС.</w:t>
      </w:r>
    </w:p>
    <w:p w:rsidR="000C1AF5" w:rsidRDefault="000C1AF5" w:rsidP="000C1AF5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Жизненный цикл программных средств (ПС) в стандартах представляет собой набор этапов, частных работ и операций в последовательности их выполнения и взаимосвязях, регламентирующих ведение работ от подготовки технического задания до завершения испытаний ряда версий и окончания эксплуатации ПС или ИС. Стандарты включают правила описания исходной информации, способов и методов выполнения операций, устанавливают контроль технологических процессов, требования к оформлению их результатов, а также регламентируют содержание технологических и эксплуатационных документов на комплексы программ. Они определяют организационную структуру коллектива, обеспечивают распределение и планирование заданий, а также контроль за этапами создания комплекса ПС. В России разработка и испытания автоматизированных систем (АС), в частности ПС, регламентированы </w:t>
      </w:r>
      <w:hyperlink r:id="rId5" w:anchor=":~:text=%D0%93%D0%9E%D0%A1%D0%A2%2034.601-90%20%D0%98%D0%BD%D1%84%D0%BE%D1%80%D0%BC%D0%B0%D1%86%D0%B8%D0%BE%D0%BD%D0%BD%D0%B0%D1%8F%20%D1%82%D0%B5%D1%85%D0%BD%D0%BE%D0%BB%D0%BE%D0%B3%D0%B8%D1%8F%20(%D0%98%D0%A2).%20%D0%9A%D0%BE%D0%BC%D0%BF%D0%BB%D0%B5%D0%BA%D1%81%20%D1%81%D1%82%D0%B0%D0%BD%D0%B4%D0%B0%D1%80%D1%82%D0%BE%D0%B2%20%D0%BD%D0%B0%20%D0%B0%D0%B2%D1%82%D0%BE%D0%BC%D0%B0%D1%82%D0%B8%D0%B7%D0%B8%D1%80%D0%BE%D0%B2%D0%B0%D0%BD%D0%BD%D1%8B%D0%B5%20%D1%81%D0%B8%D1%81%D1%82%D0%B5%D0%BC%D1%8B" w:history="1">
        <w:r>
          <w:rPr>
            <w:rStyle w:val="a3"/>
            <w:rFonts w:ascii="Arial" w:hAnsi="Arial" w:cs="Arial"/>
            <w:color w:val="551A8B"/>
            <w:sz w:val="21"/>
            <w:szCs w:val="21"/>
          </w:rPr>
          <w:t>ГОСТ 34.601-90</w:t>
        </w:r>
      </w:hyperlink>
      <w:r>
        <w:rPr>
          <w:rFonts w:ascii="Arial" w:hAnsi="Arial" w:cs="Arial"/>
          <w:color w:val="000000"/>
          <w:sz w:val="21"/>
          <w:szCs w:val="21"/>
        </w:rPr>
        <w:t>. Стадии создания АС; </w:t>
      </w:r>
      <w:hyperlink r:id="rId6" w:history="1">
        <w:r>
          <w:rPr>
            <w:rStyle w:val="a3"/>
            <w:rFonts w:ascii="Arial" w:hAnsi="Arial" w:cs="Arial"/>
            <w:color w:val="551A8B"/>
            <w:sz w:val="21"/>
            <w:szCs w:val="21"/>
          </w:rPr>
          <w:t>ГОСТ 34.602-89</w:t>
        </w:r>
      </w:hyperlink>
      <w:r>
        <w:rPr>
          <w:rFonts w:ascii="Arial" w:hAnsi="Arial" w:cs="Arial"/>
          <w:color w:val="000000"/>
          <w:sz w:val="21"/>
          <w:szCs w:val="21"/>
        </w:rPr>
        <w:t>. ТЗ на создание АС; </w:t>
      </w:r>
      <w:hyperlink r:id="rId7" w:history="1">
        <w:r>
          <w:rPr>
            <w:rStyle w:val="a3"/>
            <w:rFonts w:ascii="Arial" w:hAnsi="Arial" w:cs="Arial"/>
            <w:color w:val="551A8B"/>
            <w:sz w:val="21"/>
            <w:szCs w:val="21"/>
          </w:rPr>
          <w:t>ГОСТ 34.603-92</w:t>
        </w:r>
      </w:hyperlink>
      <w:r>
        <w:rPr>
          <w:rFonts w:ascii="Arial" w:hAnsi="Arial" w:cs="Arial"/>
          <w:color w:val="000000"/>
          <w:sz w:val="21"/>
          <w:szCs w:val="21"/>
        </w:rPr>
        <w:t>. Виды испытаний АС.</w:t>
      </w:r>
    </w:p>
    <w:p w:rsidR="000C1AF5" w:rsidRDefault="000C1AF5" w:rsidP="000C1AF5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Однако создание, сопровождение и развитие прикладных ПС для современных ИС в этих стандартах отражены недостаточно, а отдельные их положения устарели, с точки зрения построения современных распределенных комплексов прикладных программ высокого качества в системах управления и обработки данных с различной архитектурой. Поэтому целесообразно выбирать и использовать апробированные зарубежные стандарты в этой области, а также адаптировать их под реализацию конкретного проекта. Основные современные зарубежные стандарты ориентированы на описание жизненного цикла сложных ПС обработки информации и управления в реальном времени. Однако используемые в настоящее время в компаниях жизненные циклы ПС в последнее время зачастую отличаются от приведенных в стандартах в связи с развитием и внедрением объектно-ориентированного анализа и проектирования, а также методов быстрой разработки прикладных программ, CASE-систем и языков четвертого поколения. В новых технологиях сокращаются стадии непосредственного создания программных и информационных компонентов и детализируются процессы системного анализа и проектирования ПС в целом.</w:t>
      </w:r>
    </w:p>
    <w:p w:rsidR="000C1AF5" w:rsidRDefault="000C1AF5" w:rsidP="000C1AF5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Целесообразно рассмотреть проблему определения требований к ИС предприятия: выбора модели жизненного цикла (ЖЦ) разработки, определения контрактных условий реализации проекта, выбор нотации и инструментального средства формализованного описания требований.</w:t>
      </w:r>
    </w:p>
    <w:p w:rsidR="000C1AF5" w:rsidRDefault="000C1AF5" w:rsidP="000C1AF5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lastRenderedPageBreak/>
        <w:t>Необходимость определения требований к ИС возникает в следующих случаях: в момент выбора новой ИС, при подготовке тендерной документации, заключении договора на разработку или дополнительную надстройку выбранной ИС, уточнении (детализации) потребностей бизнеса в процессе разработки или надстройки системы, а также необходимости внесения изменений в систему в ходе эксплуатации. В каждом случае перед специалистами предприятия и организации встает задача выбора уровня детализации требований, методов описания, включая формализованное описание с использованием графического моделирования. На уровень детализации, область определения, а также используемые методы описания влияют: выбранная модель ЖЦ разработки и внедрения; характер разрабатываемого и внедряемого ПО (заказная разработка, настройка ИС, согласно требованиям заказчика); используемые средства и методы проектирования (в случае заказной разработки).</w:t>
      </w:r>
    </w:p>
    <w:p w:rsidR="000C1AF5" w:rsidRDefault="000C1AF5" w:rsidP="000C1AF5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Модель жизненного цикла представляет собой структуру, содержащую процессы, действия и задачи, которые осуществляются в ходе разработки, функционирования и сопровождения программного продукта (ПП) в течение всей жизни системы, от определения требований до вывода из эксплуатации. Существует несколько моделей и стандартов, а также концепций и методологий, в той или иной степени регламентирующих жизненный цикл, большинство из них относятся к заказному ПО, АС и др. Кроме непосредственно жизненного цикла в данных стандартах и методиках регламентируют также и процессы разработки.</w:t>
      </w:r>
    </w:p>
    <w:p w:rsidR="000C1AF5" w:rsidRDefault="000C1AF5" w:rsidP="000C1AF5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Рассмотрим базовые стандарты и методологии, регламентирующие жизненный цикл ПС и ИС в целом.</w:t>
      </w:r>
    </w:p>
    <w:p w:rsidR="000C1AF5" w:rsidRDefault="000C1AF5" w:rsidP="000C1AF5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Style w:val="a4"/>
          <w:rFonts w:ascii="Arial" w:hAnsi="Arial" w:cs="Arial"/>
          <w:color w:val="000000"/>
          <w:sz w:val="21"/>
          <w:szCs w:val="21"/>
        </w:rPr>
        <w:t>Стандарты комплекса ГОСТ 34</w:t>
      </w:r>
    </w:p>
    <w:p w:rsidR="000C1AF5" w:rsidRDefault="000C1AF5" w:rsidP="000C1AF5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Эти стандарты на создание и развитие АС – обобщенные, но воспринимаемые как весьма жесткие по структуре ЖЦ и проектной документации. </w:t>
      </w:r>
      <w:hyperlink r:id="rId8" w:anchor=":~:text=%D0%93%D0%9E%D0%A1%D0%A2%2034.601-90%20%D0%98%D0%BD%D1%84%D0%BE%D1%80%D0%BC%D0%B0%D1%86%D0%B8%D0%BE%D0%BD%D0%BD%D0%B0%D1%8F%20%D1%82%D0%B5%D1%85%D0%BD%D0%BE%D0%BB%D0%BE%D0%B3%D0%B8%D1%8F%20(%D0%98%D0%A2).%20%D0%9A%D0%BE%D0%BC%D0%BF%D0%BB%D0%B5%D0%BA%D1%81%20%D1%81%D1%82%D0%B0%D0%BD%D0%B4%D0%B0%D1%80%D1%82%D0%BE%D0%B2%20%D0%BD%D0%B0%20%D0%B0%D0%B2%D1%82%D0%BE%D0%BC%D0%B0%D1%82%D0%B8%D0%B7%D0%B8%D1%80%D0%BE%D0%B2%D0%B0%D0%BD%D0%BD%D1%8B%D0%B5%20%D1%81%D0%B8%D1%81%D1%82%D0%B5%D0%BC%D1%8B" w:history="1">
        <w:r>
          <w:rPr>
            <w:rStyle w:val="a3"/>
            <w:rFonts w:ascii="Arial" w:hAnsi="Arial" w:cs="Arial"/>
            <w:color w:val="551A8B"/>
            <w:sz w:val="21"/>
            <w:szCs w:val="21"/>
          </w:rPr>
          <w:t>ГОСТ 34.601-90</w:t>
        </w:r>
      </w:hyperlink>
      <w:r>
        <w:rPr>
          <w:rFonts w:ascii="Arial" w:hAnsi="Arial" w:cs="Arial"/>
          <w:color w:val="000000"/>
          <w:sz w:val="21"/>
          <w:szCs w:val="21"/>
        </w:rPr>
        <w:t> распространяется на АС и устанавливает стадии и этапы их создания. Кроме того, в стандарте содержится описание работ на каждом этапе. Стадии и этапы, закрепленные в стандарте, в большей степени соответствуют каскадной модели жизненного цикла. Изначально ГОСТ 34 задумывался в конце 1980-х годов как всеобъемлющий комплекс взаимосвязанных межотраслевых документов.</w:t>
      </w:r>
    </w:p>
    <w:p w:rsidR="000C1AF5" w:rsidRDefault="000C1AF5" w:rsidP="000C1AF5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Объектами стандартизации являются АС различных видов и все виды их компонентов, а не только ПО и базы данных (БД). Комплекс рассчитан на взаимодействие заказчика и разработчика. Аналогично </w:t>
      </w:r>
      <w:hyperlink r:id="rId9" w:history="1">
        <w:r>
          <w:rPr>
            <w:rStyle w:val="a3"/>
            <w:rFonts w:ascii="Arial" w:hAnsi="Arial" w:cs="Arial"/>
            <w:color w:val="551A8B"/>
            <w:sz w:val="21"/>
            <w:szCs w:val="21"/>
          </w:rPr>
          <w:t>ISO 12207</w:t>
        </w:r>
      </w:hyperlink>
      <w:r>
        <w:rPr>
          <w:rFonts w:ascii="Arial" w:hAnsi="Arial" w:cs="Arial"/>
          <w:color w:val="000000"/>
          <w:sz w:val="21"/>
          <w:szCs w:val="21"/>
        </w:rPr>
        <w:t> предусмотрено, что заказчик может разрабатывать АС для себя самостоятельно (если создаст для этого специализированное подразделение). Поскольку ГОСТ 34 в основном уделяет внимание содержанию проектных документов, распределение действий между сторонами обычно делается, исходя из этого содержания.</w:t>
      </w:r>
    </w:p>
    <w:p w:rsidR="000C1AF5" w:rsidRDefault="000C1AF5" w:rsidP="000C1AF5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В стандарте описано содержание документов, разрабатываемых на каждом этапе. Это определяет потенциальные возможности выделения на содержательном уровне сквозных работ, выполняемых параллельно или последовательно, и составляющих их задач. Такой прием может использоваться при построении профиля стандартов ЖЦ проекта, включающего согласованные подмножества стандартов ГОСТ 34 и </w:t>
      </w:r>
      <w:hyperlink r:id="rId10" w:history="1">
        <w:r>
          <w:rPr>
            <w:rStyle w:val="a3"/>
            <w:rFonts w:ascii="Arial" w:hAnsi="Arial" w:cs="Arial"/>
            <w:color w:val="551A8B"/>
            <w:sz w:val="21"/>
            <w:szCs w:val="21"/>
          </w:rPr>
          <w:t>ISO 12207</w:t>
        </w:r>
      </w:hyperlink>
      <w:r>
        <w:rPr>
          <w:rFonts w:ascii="Arial" w:hAnsi="Arial" w:cs="Arial"/>
          <w:color w:val="000000"/>
          <w:sz w:val="21"/>
          <w:szCs w:val="21"/>
        </w:rPr>
        <w:t>.</w:t>
      </w:r>
    </w:p>
    <w:p w:rsidR="000C1AF5" w:rsidRDefault="000C1AF5" w:rsidP="000C1AF5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Style w:val="a4"/>
          <w:rFonts w:ascii="Arial" w:hAnsi="Arial" w:cs="Arial"/>
          <w:color w:val="000000"/>
          <w:sz w:val="21"/>
          <w:szCs w:val="21"/>
        </w:rPr>
        <w:t>Международный стандарт ISO/IEC 12207</w:t>
      </w:r>
    </w:p>
    <w:p w:rsidR="000C1AF5" w:rsidRDefault="000C1AF5" w:rsidP="000C1AF5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Первая редакция</w:t>
      </w:r>
      <w:r>
        <w:rPr>
          <w:rStyle w:val="a4"/>
          <w:rFonts w:ascii="Arial" w:hAnsi="Arial" w:cs="Arial"/>
          <w:color w:val="000000"/>
          <w:sz w:val="21"/>
          <w:szCs w:val="21"/>
        </w:rPr>
        <w:t> </w:t>
      </w:r>
      <w:hyperlink r:id="rId11" w:history="1">
        <w:r>
          <w:rPr>
            <w:rStyle w:val="a3"/>
            <w:rFonts w:ascii="Arial" w:hAnsi="Arial" w:cs="Arial"/>
            <w:color w:val="551A8B"/>
            <w:sz w:val="21"/>
            <w:szCs w:val="21"/>
          </w:rPr>
          <w:t>ISO 12207</w:t>
        </w:r>
      </w:hyperlink>
      <w:r>
        <w:rPr>
          <w:rStyle w:val="a4"/>
          <w:rFonts w:ascii="Arial" w:hAnsi="Arial" w:cs="Arial"/>
          <w:color w:val="000000"/>
          <w:sz w:val="21"/>
          <w:szCs w:val="21"/>
        </w:rPr>
        <w:t> </w:t>
      </w:r>
      <w:r>
        <w:rPr>
          <w:rFonts w:ascii="Arial" w:hAnsi="Arial" w:cs="Arial"/>
          <w:color w:val="000000"/>
          <w:sz w:val="21"/>
          <w:szCs w:val="21"/>
        </w:rPr>
        <w:t>была</w:t>
      </w:r>
      <w:r>
        <w:rPr>
          <w:rStyle w:val="a4"/>
          <w:rFonts w:ascii="Arial" w:hAnsi="Arial" w:cs="Arial"/>
          <w:color w:val="000000"/>
          <w:sz w:val="21"/>
          <w:szCs w:val="21"/>
        </w:rPr>
        <w:t> </w:t>
      </w:r>
      <w:r>
        <w:rPr>
          <w:rFonts w:ascii="Arial" w:hAnsi="Arial" w:cs="Arial"/>
          <w:color w:val="000000"/>
          <w:sz w:val="21"/>
          <w:szCs w:val="21"/>
        </w:rPr>
        <w:t>подготовлена в 1995 году объединенным техническим комитетом ISO/IEC JTC1 "Информационные технологии, подкомитет SC7, проектирование программного обеспечения". По определению, </w:t>
      </w:r>
      <w:hyperlink r:id="rId12" w:history="1">
        <w:r>
          <w:rPr>
            <w:rStyle w:val="a3"/>
            <w:rFonts w:ascii="Arial" w:hAnsi="Arial" w:cs="Arial"/>
            <w:color w:val="551A8B"/>
            <w:sz w:val="21"/>
            <w:szCs w:val="21"/>
          </w:rPr>
          <w:t>ISO 12207</w:t>
        </w:r>
      </w:hyperlink>
      <w:r>
        <w:rPr>
          <w:rFonts w:ascii="Arial" w:hAnsi="Arial" w:cs="Arial"/>
          <w:color w:val="000000"/>
          <w:sz w:val="21"/>
          <w:szCs w:val="21"/>
        </w:rPr>
        <w:t> – базовый стандарт процессов ЖЦ ПО, ориентированный на различные виды ПО и типы проектов АС, куда ПО входит как часть.</w:t>
      </w:r>
    </w:p>
    <w:p w:rsidR="000C1AF5" w:rsidRDefault="000C1AF5" w:rsidP="000C1AF5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Стандарт определяет стратегию и общий порядок в создании и эксплуатации ПО, он охватывает ЖЦ ПО от концептуализации идей до завершения ЖЦ. Очень важное замечание </w:t>
      </w:r>
      <w:r>
        <w:rPr>
          <w:rFonts w:ascii="Arial" w:hAnsi="Arial" w:cs="Arial"/>
          <w:color w:val="000000"/>
          <w:sz w:val="21"/>
          <w:szCs w:val="21"/>
        </w:rPr>
        <w:lastRenderedPageBreak/>
        <w:t xml:space="preserve">стандарта: процессы, используемые во время ЖЦ ПО, должны быть совместимы с процессами, используемыми </w:t>
      </w:r>
      <w:proofErr w:type="gramStart"/>
      <w:r>
        <w:rPr>
          <w:rFonts w:ascii="Arial" w:hAnsi="Arial" w:cs="Arial"/>
          <w:color w:val="000000"/>
          <w:sz w:val="21"/>
          <w:szCs w:val="21"/>
        </w:rPr>
        <w:t>во время</w:t>
      </w:r>
      <w:proofErr w:type="gramEnd"/>
      <w:r>
        <w:rPr>
          <w:rFonts w:ascii="Arial" w:hAnsi="Arial" w:cs="Arial"/>
          <w:color w:val="000000"/>
          <w:sz w:val="21"/>
          <w:szCs w:val="21"/>
        </w:rPr>
        <w:t xml:space="preserve"> ЖЦ АС. (Отсюда понятна целесообразность совместного использования стандартов на АС и ПО.) Определение стандарта: система – это объединение одного или более процессов, аппаратных средств, программного обеспечения, оборудования и людей для обеспечения возможности удовлетворения определенных потребностей или целей. Стандарт </w:t>
      </w:r>
      <w:hyperlink r:id="rId13" w:history="1">
        <w:r>
          <w:rPr>
            <w:rStyle w:val="a3"/>
            <w:rFonts w:ascii="Arial" w:hAnsi="Arial" w:cs="Arial"/>
            <w:color w:val="551A8B"/>
            <w:sz w:val="21"/>
            <w:szCs w:val="21"/>
          </w:rPr>
          <w:t>ISO 12207</w:t>
        </w:r>
      </w:hyperlink>
      <w:r>
        <w:rPr>
          <w:rFonts w:ascii="Arial" w:hAnsi="Arial" w:cs="Arial"/>
          <w:color w:val="000000"/>
          <w:sz w:val="21"/>
          <w:szCs w:val="21"/>
        </w:rPr>
        <w:t> равносильно ориентирован на организацию действий каждой из двух сторон: поставщик (разработчик) и покупатель (пользователь). Может быть в равной степени применен, когда обе стороны из одной организации.</w:t>
      </w:r>
    </w:p>
    <w:p w:rsidR="000C1AF5" w:rsidRDefault="000C1AF5" w:rsidP="000C1AF5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Процессы ЖЦ.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Cтандарт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ISO состоит из крупных обобщенных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процессов:"приобретение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", "поставка", "разработка" и т.п. Каждый процесс разделен на набор действий, любое действие – на комплекс задач. Очень важное отличие ISO: любой процесс, действие или задача инициируется и выполняется другим процессом по мере необходимости, причем нет заранее определенных последовательностей (естественно, при сохранении логики </w:t>
      </w:r>
      <w:proofErr w:type="gramStart"/>
      <w:r>
        <w:rPr>
          <w:rFonts w:ascii="Arial" w:hAnsi="Arial" w:cs="Arial"/>
          <w:color w:val="000000"/>
          <w:sz w:val="21"/>
          <w:szCs w:val="21"/>
        </w:rPr>
        <w:t>связей по исходным сведениям</w:t>
      </w:r>
      <w:proofErr w:type="gramEnd"/>
      <w:r>
        <w:rPr>
          <w:rFonts w:ascii="Arial" w:hAnsi="Arial" w:cs="Arial"/>
          <w:color w:val="000000"/>
          <w:sz w:val="21"/>
          <w:szCs w:val="21"/>
        </w:rPr>
        <w:t xml:space="preserve"> задач и т.п.). Динамический характер стандарта зависит от способа определения последовательности выполнения процессов и задач, при котором один процесс при необходимости вызывает другой или его часть.</w:t>
      </w:r>
    </w:p>
    <w:p w:rsidR="000C1AF5" w:rsidRDefault="000C1AF5" w:rsidP="000C1AF5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Стандарт определяет архитектуру, процессы, разделы и подразделы ЖЦ ПС, а также перечень базовых работ и детализирует содержание каждой из них. Архитектура ЖЦ ПС в стандарте базируется на трех крупных компонентах (см. рисунок 1.1). Стандарт принципиально не содержит конкретные методы действий, тем более – заготовки решений или документации. Он описывает архитектуру процессов ЖЦ ПО, но не конкретизирует в деталях, как реализовать или выполнить услуги и задачи, включенные в процессы, не предназначен для предписания имени. Стандарт не предписывает конкретную модель ЖЦ или метод разработки ПО, но определяет, что стороны – участники использования стандарта ответственны за выбор модели ЖЦ для проекта ПО, за адаптацию процессов и задач стандарта к этой модели, за выбор и применение методов разработки ПО, за выполнение действий и задач, подходящих для проекта ПО.</w:t>
      </w:r>
    </w:p>
    <w:p w:rsidR="00526333" w:rsidRDefault="000C1AF5">
      <w:r>
        <w:rPr>
          <w:noProof/>
          <w:lang w:eastAsia="ru-RU"/>
        </w:rPr>
        <w:lastRenderedPageBreak/>
        <w:drawing>
          <wp:inline distT="0" distB="0" distL="0" distR="0" wp14:anchorId="3B9BCC7B" wp14:editId="731E6702">
            <wp:extent cx="5940425" cy="5474335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5474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C1AF5" w:rsidRDefault="000C1AF5">
      <w:pPr>
        <w:rPr>
          <w:rFonts w:ascii="Arial" w:hAnsi="Arial" w:cs="Arial"/>
          <w:color w:val="000000"/>
          <w:sz w:val="21"/>
          <w:szCs w:val="21"/>
          <w:shd w:val="clear" w:color="auto" w:fill="FFFFFF"/>
        </w:rPr>
      </w:pP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Другие стандарты и методологии проектирования, эксплуатации и аудита ИС рассмотрены в материалах, содержащихся в базе ГОСТ.</w:t>
      </w:r>
    </w:p>
    <w:p w:rsidR="00A308B3" w:rsidRDefault="00A308B3" w:rsidP="00A308B3">
      <w:pPr>
        <w:pStyle w:val="2"/>
        <w:pBdr>
          <w:bottom w:val="single" w:sz="6" w:space="8" w:color="999999"/>
        </w:pBdr>
        <w:shd w:val="clear" w:color="auto" w:fill="FFFFFF"/>
        <w:spacing w:after="0" w:afterAutospacing="0"/>
        <w:jc w:val="both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</w:rPr>
        <w:t>3. Порядок выполнения работы</w:t>
      </w:r>
    </w:p>
    <w:tbl>
      <w:tblPr>
        <w:tblpPr w:leftFromText="180" w:rightFromText="180" w:vertAnchor="text" w:horzAnchor="margin" w:tblpXSpec="center" w:tblpY="914"/>
        <w:tblW w:w="10125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886"/>
        <w:gridCol w:w="5239"/>
      </w:tblGrid>
      <w:tr w:rsidR="00A308B3" w:rsidTr="00A308B3">
        <w:trPr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:rsidR="00A308B3" w:rsidRDefault="00A308B3" w:rsidP="00A308B3">
            <w:pPr>
              <w:spacing w:before="100" w:beforeAutospacing="1" w:after="150" w:line="288" w:lineRule="atLeast"/>
              <w:jc w:val="right"/>
              <w:rPr>
                <w:i/>
                <w:iCs/>
                <w:sz w:val="21"/>
                <w:szCs w:val="21"/>
              </w:rPr>
            </w:pPr>
            <w:r>
              <w:rPr>
                <w:i/>
                <w:iCs/>
                <w:sz w:val="21"/>
                <w:szCs w:val="21"/>
              </w:rPr>
              <w:t>Таблица 1.1 – Стандарты по разработке информационных систем</w:t>
            </w:r>
          </w:p>
        </w:tc>
      </w:tr>
      <w:tr w:rsidR="00A308B3" w:rsidTr="00A308B3">
        <w:trPr>
          <w:tblCellSpacing w:w="15" w:type="dxa"/>
        </w:trPr>
        <w:tc>
          <w:tcPr>
            <w:tcW w:w="0" w:type="auto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:rsidR="00A308B3" w:rsidRDefault="00A308B3" w:rsidP="00A308B3">
            <w:pPr>
              <w:spacing w:before="100" w:beforeAutospacing="1" w:after="150" w:line="288" w:lineRule="atLeast"/>
              <w:jc w:val="center"/>
              <w:rPr>
                <w:b/>
                <w:bCs/>
                <w:color w:val="981917"/>
                <w:sz w:val="21"/>
                <w:szCs w:val="21"/>
              </w:rPr>
            </w:pPr>
            <w:r>
              <w:rPr>
                <w:b/>
                <w:bCs/>
                <w:color w:val="981917"/>
                <w:sz w:val="21"/>
                <w:szCs w:val="21"/>
              </w:rPr>
              <w:t>Обозначение стандарта</w:t>
            </w:r>
          </w:p>
        </w:tc>
        <w:tc>
          <w:tcPr>
            <w:tcW w:w="0" w:type="auto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:rsidR="00A308B3" w:rsidRDefault="00A308B3" w:rsidP="00A308B3">
            <w:pPr>
              <w:spacing w:before="100" w:beforeAutospacing="1" w:after="150" w:line="288" w:lineRule="atLeast"/>
              <w:jc w:val="center"/>
              <w:rPr>
                <w:b/>
                <w:bCs/>
                <w:color w:val="981917"/>
                <w:sz w:val="21"/>
                <w:szCs w:val="21"/>
              </w:rPr>
            </w:pPr>
            <w:r>
              <w:rPr>
                <w:b/>
                <w:bCs/>
                <w:color w:val="981917"/>
                <w:sz w:val="21"/>
                <w:szCs w:val="21"/>
              </w:rPr>
              <w:t>Наименование стандарта</w:t>
            </w:r>
          </w:p>
        </w:tc>
      </w:tr>
      <w:tr w:rsidR="00A308B3" w:rsidTr="00A308B3">
        <w:trPr>
          <w:tblCellSpacing w:w="15" w:type="dxa"/>
        </w:trPr>
        <w:tc>
          <w:tcPr>
            <w:tcW w:w="0" w:type="auto"/>
            <w:gridSpan w:val="2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A308B3" w:rsidRDefault="00A308B3" w:rsidP="00A308B3">
            <w:pPr>
              <w:spacing w:before="100" w:beforeAutospacing="1" w:after="150" w:line="288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Российские (стандарты СССР)</w:t>
            </w:r>
          </w:p>
        </w:tc>
      </w:tr>
      <w:tr w:rsidR="00A308B3" w:rsidTr="00A308B3">
        <w:trPr>
          <w:tblCellSpacing w:w="15" w:type="dxa"/>
        </w:trPr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A308B3" w:rsidRDefault="00A308B3" w:rsidP="00A308B3">
            <w:pPr>
              <w:spacing w:before="100" w:beforeAutospacing="1" w:after="150" w:line="288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...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A308B3" w:rsidRDefault="00A308B3" w:rsidP="00A308B3">
            <w:pPr>
              <w:spacing w:before="100" w:beforeAutospacing="1" w:after="150" w:line="288" w:lineRule="atLeast"/>
              <w:rPr>
                <w:sz w:val="18"/>
                <w:szCs w:val="18"/>
              </w:rPr>
            </w:pPr>
          </w:p>
        </w:tc>
      </w:tr>
      <w:tr w:rsidR="00A308B3" w:rsidTr="00A308B3">
        <w:trPr>
          <w:tblCellSpacing w:w="15" w:type="dxa"/>
        </w:trPr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A308B3" w:rsidRDefault="00A308B3" w:rsidP="00A308B3">
            <w:pPr>
              <w:spacing w:before="100" w:beforeAutospacing="1" w:after="150" w:line="288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...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A308B3" w:rsidRDefault="00A308B3" w:rsidP="00A308B3">
            <w:pPr>
              <w:spacing w:before="100" w:beforeAutospacing="1" w:after="150" w:line="288" w:lineRule="atLeast"/>
              <w:rPr>
                <w:sz w:val="18"/>
                <w:szCs w:val="18"/>
              </w:rPr>
            </w:pPr>
          </w:p>
        </w:tc>
      </w:tr>
      <w:tr w:rsidR="00A308B3" w:rsidTr="00A308B3">
        <w:trPr>
          <w:tblCellSpacing w:w="15" w:type="dxa"/>
        </w:trPr>
        <w:tc>
          <w:tcPr>
            <w:tcW w:w="0" w:type="auto"/>
            <w:gridSpan w:val="2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A308B3" w:rsidRDefault="00A308B3" w:rsidP="00A308B3">
            <w:pPr>
              <w:spacing w:before="100" w:beforeAutospacing="1" w:after="150" w:line="288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Российские, идентичные международным</w:t>
            </w:r>
          </w:p>
        </w:tc>
      </w:tr>
      <w:tr w:rsidR="00A308B3" w:rsidTr="00A308B3">
        <w:trPr>
          <w:tblCellSpacing w:w="15" w:type="dxa"/>
        </w:trPr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A308B3" w:rsidRDefault="00A308B3" w:rsidP="00A308B3">
            <w:pPr>
              <w:spacing w:before="100" w:beforeAutospacing="1" w:after="150" w:line="288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...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A308B3" w:rsidRDefault="00A308B3" w:rsidP="00A308B3">
            <w:pPr>
              <w:spacing w:before="100" w:beforeAutospacing="1" w:after="150" w:line="288" w:lineRule="atLeast"/>
              <w:rPr>
                <w:sz w:val="18"/>
                <w:szCs w:val="18"/>
              </w:rPr>
            </w:pPr>
          </w:p>
        </w:tc>
      </w:tr>
      <w:tr w:rsidR="00A308B3" w:rsidTr="00A308B3">
        <w:trPr>
          <w:tblCellSpacing w:w="15" w:type="dxa"/>
        </w:trPr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A308B3" w:rsidRDefault="00A308B3" w:rsidP="00A308B3">
            <w:pPr>
              <w:spacing w:before="100" w:beforeAutospacing="1" w:after="150" w:line="288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...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A308B3" w:rsidRDefault="00A308B3" w:rsidP="00A308B3">
            <w:pPr>
              <w:spacing w:before="100" w:beforeAutospacing="1" w:after="150" w:line="288" w:lineRule="atLeast"/>
              <w:rPr>
                <w:sz w:val="18"/>
                <w:szCs w:val="18"/>
              </w:rPr>
            </w:pPr>
          </w:p>
        </w:tc>
      </w:tr>
    </w:tbl>
    <w:p w:rsidR="00A308B3" w:rsidRDefault="00A308B3" w:rsidP="00A308B3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Систематизировать комплекс государственных и международных стандартов, регламентирующих процессы разработки ИС, заполнив таблицу 1.1.</w:t>
      </w:r>
    </w:p>
    <w:p w:rsidR="00A308B3" w:rsidRDefault="00A308B3" w:rsidP="00A308B3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Дать краткую характеристику основных международных методологий и стандартов, применяющихся при создании, эксплуатации и аудите ИС, заполнив таблицу 1.2.</w:t>
      </w:r>
    </w:p>
    <w:tbl>
      <w:tblPr>
        <w:tblW w:w="11078" w:type="dxa"/>
        <w:tblCellSpacing w:w="15" w:type="dxa"/>
        <w:tblInd w:w="-803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558"/>
        <w:gridCol w:w="4687"/>
        <w:gridCol w:w="2833"/>
      </w:tblGrid>
      <w:tr w:rsidR="00A308B3" w:rsidTr="00A308B3">
        <w:trPr>
          <w:tblCellSpacing w:w="15" w:type="dxa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:rsidR="00A308B3" w:rsidRDefault="00A308B3">
            <w:pPr>
              <w:spacing w:before="100" w:beforeAutospacing="1" w:after="150" w:line="288" w:lineRule="atLeast"/>
              <w:jc w:val="right"/>
              <w:rPr>
                <w:i/>
                <w:iCs/>
                <w:sz w:val="21"/>
                <w:szCs w:val="21"/>
              </w:rPr>
            </w:pPr>
            <w:r>
              <w:rPr>
                <w:i/>
                <w:iCs/>
                <w:sz w:val="21"/>
                <w:szCs w:val="21"/>
              </w:rPr>
              <w:t>Таблица 1.2 – Международные методологии и стандарты программной инженерии</w:t>
            </w:r>
          </w:p>
        </w:tc>
      </w:tr>
      <w:tr w:rsidR="00A308B3" w:rsidTr="00A308B3">
        <w:trPr>
          <w:tblCellSpacing w:w="15" w:type="dxa"/>
        </w:trPr>
        <w:tc>
          <w:tcPr>
            <w:tcW w:w="0" w:type="auto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:rsidR="00A308B3" w:rsidRDefault="00A308B3">
            <w:pPr>
              <w:spacing w:before="100" w:beforeAutospacing="1" w:after="150" w:line="288" w:lineRule="atLeast"/>
              <w:jc w:val="center"/>
              <w:rPr>
                <w:b/>
                <w:bCs/>
                <w:color w:val="981917"/>
                <w:sz w:val="21"/>
                <w:szCs w:val="21"/>
              </w:rPr>
            </w:pPr>
            <w:r>
              <w:rPr>
                <w:b/>
                <w:bCs/>
                <w:color w:val="981917"/>
                <w:sz w:val="21"/>
                <w:szCs w:val="21"/>
              </w:rPr>
              <w:t>Наименование</w:t>
            </w:r>
          </w:p>
        </w:tc>
        <w:tc>
          <w:tcPr>
            <w:tcW w:w="0" w:type="auto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:rsidR="00A308B3" w:rsidRDefault="00A308B3">
            <w:pPr>
              <w:spacing w:before="100" w:beforeAutospacing="1" w:after="150" w:line="288" w:lineRule="atLeast"/>
              <w:jc w:val="center"/>
              <w:rPr>
                <w:b/>
                <w:bCs/>
                <w:color w:val="981917"/>
                <w:sz w:val="21"/>
                <w:szCs w:val="21"/>
              </w:rPr>
            </w:pPr>
            <w:r>
              <w:rPr>
                <w:b/>
                <w:bCs/>
                <w:color w:val="981917"/>
                <w:sz w:val="21"/>
                <w:szCs w:val="21"/>
              </w:rPr>
              <w:t>Расшифровка (</w:t>
            </w:r>
            <w:proofErr w:type="spellStart"/>
            <w:r>
              <w:rPr>
                <w:b/>
                <w:bCs/>
                <w:color w:val="981917"/>
                <w:sz w:val="21"/>
                <w:szCs w:val="21"/>
              </w:rPr>
              <w:t>англ</w:t>
            </w:r>
            <w:proofErr w:type="spellEnd"/>
            <w:r>
              <w:rPr>
                <w:b/>
                <w:bCs/>
                <w:color w:val="981917"/>
                <w:sz w:val="21"/>
                <w:szCs w:val="21"/>
              </w:rPr>
              <w:t>)</w:t>
            </w:r>
          </w:p>
        </w:tc>
        <w:tc>
          <w:tcPr>
            <w:tcW w:w="0" w:type="auto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:rsidR="00A308B3" w:rsidRDefault="00A308B3">
            <w:pPr>
              <w:spacing w:before="100" w:beforeAutospacing="1" w:after="150" w:line="288" w:lineRule="atLeast"/>
              <w:jc w:val="center"/>
              <w:rPr>
                <w:b/>
                <w:bCs/>
                <w:color w:val="981917"/>
                <w:sz w:val="21"/>
                <w:szCs w:val="21"/>
              </w:rPr>
            </w:pPr>
            <w:r>
              <w:rPr>
                <w:b/>
                <w:bCs/>
                <w:color w:val="981917"/>
                <w:sz w:val="21"/>
                <w:szCs w:val="21"/>
              </w:rPr>
              <w:t>Назначение</w:t>
            </w:r>
          </w:p>
        </w:tc>
      </w:tr>
      <w:tr w:rsidR="00A308B3" w:rsidTr="00A308B3">
        <w:trPr>
          <w:tblCellSpacing w:w="15" w:type="dxa"/>
        </w:trPr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A308B3" w:rsidRDefault="00A308B3">
            <w:pPr>
              <w:spacing w:before="100" w:beforeAutospacing="1" w:after="150" w:line="288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IDEF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A308B3" w:rsidRDefault="00A308B3">
            <w:pPr>
              <w:spacing w:before="100" w:beforeAutospacing="1" w:after="150" w:line="288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A308B3" w:rsidRDefault="00A308B3">
            <w:pPr>
              <w:spacing w:before="100" w:beforeAutospacing="1" w:after="150" w:line="288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</w:tr>
      <w:tr w:rsidR="00A308B3" w:rsidTr="00A308B3">
        <w:trPr>
          <w:tblCellSpacing w:w="15" w:type="dxa"/>
        </w:trPr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A308B3" w:rsidRDefault="00A308B3">
            <w:pPr>
              <w:spacing w:before="100" w:beforeAutospacing="1" w:after="150" w:line="288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ITSM и ITIL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A308B3" w:rsidRDefault="00A308B3">
            <w:pPr>
              <w:spacing w:before="100" w:beforeAutospacing="1" w:after="150" w:line="288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A308B3" w:rsidRDefault="00A308B3">
            <w:pPr>
              <w:spacing w:before="100" w:beforeAutospacing="1" w:after="150" w:line="288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</w:tr>
      <w:tr w:rsidR="00A308B3" w:rsidTr="00A308B3">
        <w:trPr>
          <w:tblCellSpacing w:w="15" w:type="dxa"/>
        </w:trPr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A308B3" w:rsidRDefault="00A308B3">
            <w:pPr>
              <w:spacing w:before="100" w:beforeAutospacing="1" w:after="150" w:line="288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ИСО-ИЭК 15504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A308B3" w:rsidRDefault="00A308B3">
            <w:pPr>
              <w:spacing w:before="100" w:beforeAutospacing="1" w:after="150" w:line="288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A308B3" w:rsidRDefault="00A308B3">
            <w:pPr>
              <w:spacing w:before="100" w:beforeAutospacing="1" w:after="150" w:line="288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</w:tr>
      <w:tr w:rsidR="00A308B3" w:rsidTr="00A308B3">
        <w:trPr>
          <w:tblCellSpacing w:w="15" w:type="dxa"/>
        </w:trPr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A308B3" w:rsidRDefault="00A308B3">
            <w:pPr>
              <w:spacing w:before="100" w:beforeAutospacing="1" w:after="150" w:line="288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ИСО-ИЭК 12207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A308B3" w:rsidRDefault="00A308B3">
            <w:pPr>
              <w:spacing w:before="100" w:beforeAutospacing="1" w:after="150" w:line="288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A308B3" w:rsidRDefault="00A308B3">
            <w:pPr>
              <w:spacing w:before="100" w:beforeAutospacing="1" w:after="150" w:line="288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</w:tr>
      <w:tr w:rsidR="00A308B3" w:rsidTr="00A308B3">
        <w:trPr>
          <w:tblCellSpacing w:w="15" w:type="dxa"/>
        </w:trPr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A308B3" w:rsidRDefault="00A308B3">
            <w:pPr>
              <w:spacing w:before="100" w:beforeAutospacing="1" w:after="150" w:line="288" w:lineRule="atLeast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Cobit</w:t>
            </w:r>
            <w:proofErr w:type="spellEnd"/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A308B3" w:rsidRDefault="00A308B3">
            <w:pPr>
              <w:spacing w:before="100" w:beforeAutospacing="1" w:after="150" w:line="288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A308B3" w:rsidRDefault="00A308B3">
            <w:pPr>
              <w:spacing w:before="100" w:beforeAutospacing="1" w:after="150" w:line="288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</w:tr>
      <w:tr w:rsidR="00A308B3" w:rsidTr="00A308B3">
        <w:trPr>
          <w:tblCellSpacing w:w="15" w:type="dxa"/>
        </w:trPr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A308B3" w:rsidRDefault="00A308B3">
            <w:pPr>
              <w:spacing w:before="100" w:beforeAutospacing="1" w:after="150" w:line="288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….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A308B3" w:rsidRDefault="00A308B3">
            <w:pPr>
              <w:spacing w:before="100" w:beforeAutospacing="1" w:after="150" w:line="288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A308B3" w:rsidRDefault="00A308B3">
            <w:pPr>
              <w:spacing w:before="100" w:beforeAutospacing="1" w:after="150" w:line="288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</w:tr>
      <w:tr w:rsidR="00A308B3" w:rsidTr="00A308B3">
        <w:trPr>
          <w:tblCellSpacing w:w="15" w:type="dxa"/>
        </w:trPr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A308B3" w:rsidRDefault="00A308B3">
            <w:pPr>
              <w:spacing w:before="100" w:beforeAutospacing="1" w:after="150" w:line="288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A308B3" w:rsidRDefault="00A308B3">
            <w:pPr>
              <w:spacing w:before="100" w:beforeAutospacing="1" w:after="150" w:line="288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A308B3" w:rsidRDefault="00A308B3">
            <w:pPr>
              <w:spacing w:before="100" w:beforeAutospacing="1" w:after="150" w:line="288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</w:tr>
    </w:tbl>
    <w:tbl>
      <w:tblPr>
        <w:tblpPr w:leftFromText="180" w:rightFromText="180" w:vertAnchor="text" w:horzAnchor="margin" w:tblpXSpec="center" w:tblpY="1444"/>
        <w:tblW w:w="10125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896"/>
        <w:gridCol w:w="2873"/>
        <w:gridCol w:w="4356"/>
      </w:tblGrid>
      <w:tr w:rsidR="00A308B3" w:rsidTr="00A308B3">
        <w:trPr>
          <w:tblCellSpacing w:w="15" w:type="dxa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:rsidR="00A308B3" w:rsidRDefault="00A308B3" w:rsidP="00A308B3">
            <w:pPr>
              <w:spacing w:before="100" w:beforeAutospacing="1" w:after="150" w:line="288" w:lineRule="atLeast"/>
              <w:jc w:val="right"/>
              <w:rPr>
                <w:i/>
                <w:iCs/>
                <w:sz w:val="21"/>
                <w:szCs w:val="21"/>
              </w:rPr>
            </w:pPr>
            <w:r>
              <w:rPr>
                <w:i/>
                <w:iCs/>
                <w:sz w:val="21"/>
                <w:szCs w:val="21"/>
              </w:rPr>
              <w:t>Таблица 1.3 – Виды и назначение документов по ГОСТ 34.201-89</w:t>
            </w:r>
          </w:p>
        </w:tc>
      </w:tr>
      <w:tr w:rsidR="00A308B3" w:rsidTr="00A308B3">
        <w:trPr>
          <w:tblCellSpacing w:w="15" w:type="dxa"/>
        </w:trPr>
        <w:tc>
          <w:tcPr>
            <w:tcW w:w="0" w:type="auto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:rsidR="00A308B3" w:rsidRDefault="00A308B3" w:rsidP="00A308B3">
            <w:pPr>
              <w:spacing w:before="100" w:beforeAutospacing="1" w:after="150" w:line="288" w:lineRule="atLeast"/>
              <w:jc w:val="center"/>
              <w:rPr>
                <w:b/>
                <w:bCs/>
                <w:color w:val="981917"/>
                <w:sz w:val="21"/>
                <w:szCs w:val="21"/>
              </w:rPr>
            </w:pPr>
            <w:r>
              <w:rPr>
                <w:b/>
                <w:bCs/>
                <w:color w:val="981917"/>
                <w:sz w:val="21"/>
                <w:szCs w:val="21"/>
              </w:rPr>
              <w:t>Вид документа</w:t>
            </w:r>
          </w:p>
        </w:tc>
        <w:tc>
          <w:tcPr>
            <w:tcW w:w="0" w:type="auto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:rsidR="00A308B3" w:rsidRDefault="00A308B3" w:rsidP="00A308B3">
            <w:pPr>
              <w:spacing w:before="100" w:beforeAutospacing="1" w:after="150" w:line="288" w:lineRule="atLeast"/>
              <w:jc w:val="center"/>
              <w:rPr>
                <w:b/>
                <w:bCs/>
                <w:color w:val="981917"/>
                <w:sz w:val="21"/>
                <w:szCs w:val="21"/>
              </w:rPr>
            </w:pPr>
            <w:r>
              <w:rPr>
                <w:b/>
                <w:bCs/>
                <w:color w:val="981917"/>
                <w:sz w:val="21"/>
                <w:szCs w:val="21"/>
              </w:rPr>
              <w:t>Код документа</w:t>
            </w:r>
          </w:p>
        </w:tc>
        <w:tc>
          <w:tcPr>
            <w:tcW w:w="0" w:type="auto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:rsidR="00A308B3" w:rsidRDefault="00A308B3" w:rsidP="00A308B3">
            <w:pPr>
              <w:spacing w:before="100" w:beforeAutospacing="1" w:after="150" w:line="288" w:lineRule="atLeast"/>
              <w:jc w:val="center"/>
              <w:rPr>
                <w:b/>
                <w:bCs/>
                <w:color w:val="981917"/>
                <w:sz w:val="21"/>
                <w:szCs w:val="21"/>
              </w:rPr>
            </w:pPr>
            <w:r>
              <w:rPr>
                <w:b/>
                <w:bCs/>
                <w:color w:val="981917"/>
                <w:sz w:val="21"/>
                <w:szCs w:val="21"/>
              </w:rPr>
              <w:t>Назначение документа</w:t>
            </w:r>
          </w:p>
        </w:tc>
      </w:tr>
      <w:tr w:rsidR="00A308B3" w:rsidTr="00A308B3">
        <w:trPr>
          <w:tblCellSpacing w:w="15" w:type="dxa"/>
        </w:trPr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A308B3" w:rsidRDefault="00A308B3" w:rsidP="00A308B3">
            <w:pPr>
              <w:spacing w:before="100" w:beforeAutospacing="1" w:after="150" w:line="288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A308B3" w:rsidRDefault="00A308B3" w:rsidP="00A308B3">
            <w:pPr>
              <w:spacing w:before="100" w:beforeAutospacing="1" w:after="150" w:line="288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A308B3" w:rsidRDefault="00A308B3" w:rsidP="00A308B3">
            <w:pPr>
              <w:spacing w:before="100" w:beforeAutospacing="1" w:after="150" w:line="288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</w:tr>
    </w:tbl>
    <w:p w:rsidR="00A308B3" w:rsidRDefault="00A308B3" w:rsidP="00A308B3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Изучить </w:t>
      </w:r>
      <w:hyperlink r:id="rId15" w:history="1">
        <w:r>
          <w:rPr>
            <w:rStyle w:val="a3"/>
            <w:rFonts w:ascii="Arial" w:hAnsi="Arial" w:cs="Arial"/>
            <w:color w:val="551A8B"/>
            <w:sz w:val="21"/>
            <w:szCs w:val="21"/>
          </w:rPr>
          <w:t>ГОСТ 34.201-89</w:t>
        </w:r>
      </w:hyperlink>
      <w:r>
        <w:rPr>
          <w:rFonts w:ascii="Arial" w:hAnsi="Arial" w:cs="Arial"/>
          <w:color w:val="000000"/>
          <w:sz w:val="21"/>
          <w:szCs w:val="21"/>
        </w:rPr>
        <w:t> "Виды, комплектность и обозначение документов при создании автоматизированных систем". Описать виды и назначение документов, разрабатываемых на стадиях "Эскизный проект", "Технический проект", "Рабочая документация", заполнив таблицу 1.3.</w:t>
      </w:r>
    </w:p>
    <w:p w:rsidR="00A308B3" w:rsidRDefault="00A308B3" w:rsidP="00A308B3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Изучить </w:t>
      </w:r>
      <w:hyperlink r:id="rId16" w:history="1">
        <w:r>
          <w:rPr>
            <w:rStyle w:val="a3"/>
            <w:rFonts w:ascii="Arial" w:hAnsi="Arial" w:cs="Arial"/>
            <w:color w:val="551A8B"/>
            <w:sz w:val="21"/>
            <w:szCs w:val="21"/>
          </w:rPr>
          <w:t>ГОСТ 34.601-90</w:t>
        </w:r>
      </w:hyperlink>
      <w:r>
        <w:rPr>
          <w:rFonts w:ascii="Arial" w:hAnsi="Arial" w:cs="Arial"/>
          <w:color w:val="000000"/>
          <w:sz w:val="21"/>
          <w:szCs w:val="21"/>
        </w:rPr>
        <w:t> "Автоматизированные системы стадии создания". Составить таблицу 1.4.</w:t>
      </w:r>
    </w:p>
    <w:tbl>
      <w:tblPr>
        <w:tblW w:w="10125" w:type="dxa"/>
        <w:tblCellSpacing w:w="15" w:type="dxa"/>
        <w:tblInd w:w="15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762"/>
        <w:gridCol w:w="6363"/>
      </w:tblGrid>
      <w:tr w:rsidR="00A308B3" w:rsidTr="00A308B3">
        <w:trPr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:rsidR="00A308B3" w:rsidRDefault="00A308B3">
            <w:pPr>
              <w:spacing w:before="100" w:beforeAutospacing="1" w:after="150" w:line="288" w:lineRule="atLeast"/>
              <w:jc w:val="right"/>
              <w:rPr>
                <w:i/>
                <w:iCs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br w:type="column"/>
            </w:r>
            <w:r>
              <w:rPr>
                <w:i/>
                <w:iCs/>
                <w:sz w:val="21"/>
                <w:szCs w:val="21"/>
              </w:rPr>
              <w:t>Таблица 1.4 – Стадии и этапы создания АС</w:t>
            </w:r>
          </w:p>
        </w:tc>
      </w:tr>
      <w:tr w:rsidR="00A308B3" w:rsidTr="00A308B3">
        <w:trPr>
          <w:tblCellSpacing w:w="15" w:type="dxa"/>
        </w:trPr>
        <w:tc>
          <w:tcPr>
            <w:tcW w:w="0" w:type="auto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:rsidR="00A308B3" w:rsidRDefault="00A308B3">
            <w:pPr>
              <w:spacing w:before="100" w:beforeAutospacing="1" w:after="150" w:line="288" w:lineRule="atLeast"/>
              <w:jc w:val="center"/>
              <w:rPr>
                <w:b/>
                <w:bCs/>
                <w:color w:val="981917"/>
                <w:sz w:val="21"/>
                <w:szCs w:val="21"/>
              </w:rPr>
            </w:pPr>
            <w:r>
              <w:rPr>
                <w:b/>
                <w:bCs/>
                <w:color w:val="981917"/>
                <w:sz w:val="21"/>
                <w:szCs w:val="21"/>
              </w:rPr>
              <w:t>Стадии</w:t>
            </w:r>
          </w:p>
        </w:tc>
        <w:tc>
          <w:tcPr>
            <w:tcW w:w="0" w:type="auto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:rsidR="00A308B3" w:rsidRDefault="00A308B3">
            <w:pPr>
              <w:spacing w:before="100" w:beforeAutospacing="1" w:after="150" w:line="288" w:lineRule="atLeast"/>
              <w:jc w:val="center"/>
              <w:rPr>
                <w:b/>
                <w:bCs/>
                <w:color w:val="981917"/>
                <w:sz w:val="21"/>
                <w:szCs w:val="21"/>
              </w:rPr>
            </w:pPr>
            <w:r>
              <w:rPr>
                <w:b/>
                <w:bCs/>
                <w:color w:val="981917"/>
                <w:sz w:val="21"/>
                <w:szCs w:val="21"/>
              </w:rPr>
              <w:t>Этапы работ</w:t>
            </w:r>
          </w:p>
        </w:tc>
      </w:tr>
      <w:tr w:rsidR="00A308B3" w:rsidTr="00A308B3">
        <w:trPr>
          <w:tblCellSpacing w:w="15" w:type="dxa"/>
        </w:trPr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A308B3" w:rsidRDefault="00A308B3">
            <w:pPr>
              <w:spacing w:before="100" w:beforeAutospacing="1" w:after="150" w:line="288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A308B3" w:rsidRDefault="00A308B3">
            <w:pPr>
              <w:spacing w:before="100" w:beforeAutospacing="1" w:after="150" w:line="288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1.1</w:t>
            </w:r>
          </w:p>
        </w:tc>
      </w:tr>
      <w:tr w:rsidR="00A308B3" w:rsidTr="00A308B3">
        <w:trPr>
          <w:tblCellSpacing w:w="15" w:type="dxa"/>
        </w:trPr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A308B3" w:rsidRDefault="00A308B3">
            <w:pPr>
              <w:spacing w:before="100" w:beforeAutospacing="1" w:after="150" w:line="288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A308B3" w:rsidRDefault="00A308B3">
            <w:pPr>
              <w:spacing w:before="100" w:beforeAutospacing="1" w:after="150" w:line="288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1.2</w:t>
            </w:r>
          </w:p>
        </w:tc>
      </w:tr>
      <w:tr w:rsidR="00A308B3" w:rsidTr="00A308B3">
        <w:trPr>
          <w:tblCellSpacing w:w="15" w:type="dxa"/>
        </w:trPr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A308B3" w:rsidRDefault="00A308B3">
            <w:pPr>
              <w:spacing w:before="100" w:beforeAutospacing="1" w:after="150" w:line="288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A308B3" w:rsidRDefault="00A308B3">
            <w:pPr>
              <w:spacing w:before="100" w:beforeAutospacing="1" w:after="150" w:line="288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. . .</w:t>
            </w:r>
          </w:p>
        </w:tc>
      </w:tr>
      <w:tr w:rsidR="00A308B3" w:rsidTr="00A308B3">
        <w:trPr>
          <w:tblCellSpacing w:w="15" w:type="dxa"/>
        </w:trPr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A308B3" w:rsidRDefault="00A308B3">
            <w:pPr>
              <w:spacing w:before="100" w:beforeAutospacing="1" w:after="150" w:line="288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2.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A308B3" w:rsidRDefault="00A308B3">
            <w:pPr>
              <w:spacing w:before="100" w:beforeAutospacing="1" w:after="150" w:line="288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2.1</w:t>
            </w:r>
          </w:p>
        </w:tc>
      </w:tr>
      <w:tr w:rsidR="00A308B3" w:rsidTr="00A308B3">
        <w:trPr>
          <w:tblCellSpacing w:w="15" w:type="dxa"/>
        </w:trPr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A308B3" w:rsidRDefault="00A308B3">
            <w:pPr>
              <w:spacing w:before="100" w:beforeAutospacing="1" w:after="150" w:line="288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A308B3" w:rsidRDefault="00A308B3">
            <w:pPr>
              <w:spacing w:before="100" w:beforeAutospacing="1" w:after="150" w:line="288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2.2</w:t>
            </w:r>
          </w:p>
        </w:tc>
      </w:tr>
      <w:tr w:rsidR="00A308B3" w:rsidTr="00A308B3">
        <w:trPr>
          <w:tblCellSpacing w:w="15" w:type="dxa"/>
        </w:trPr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A308B3" w:rsidRDefault="00A308B3">
            <w:pPr>
              <w:spacing w:before="100" w:beforeAutospacing="1" w:after="150" w:line="288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A308B3" w:rsidRDefault="00A308B3">
            <w:pPr>
              <w:spacing w:before="100" w:beforeAutospacing="1" w:after="150" w:line="288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. . .</w:t>
            </w:r>
          </w:p>
        </w:tc>
      </w:tr>
      <w:tr w:rsidR="00A308B3" w:rsidTr="00A308B3">
        <w:trPr>
          <w:tblCellSpacing w:w="15" w:type="dxa"/>
        </w:trPr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A308B3" w:rsidRDefault="00A308B3">
            <w:pPr>
              <w:spacing w:before="100" w:beforeAutospacing="1" w:after="150" w:line="288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A308B3" w:rsidRDefault="00A308B3">
            <w:pPr>
              <w:spacing w:before="100" w:beforeAutospacing="1" w:after="150" w:line="288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</w:tr>
    </w:tbl>
    <w:p w:rsidR="00A308B3" w:rsidRDefault="00A308B3" w:rsidP="00A308B3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Классифицировать законодательные акты в области информационных систем и технологий в соответствии с критериями, обозначенными в таблице 1.5.</w:t>
      </w:r>
    </w:p>
    <w:tbl>
      <w:tblPr>
        <w:tblW w:w="10125" w:type="dxa"/>
        <w:tblCellSpacing w:w="15" w:type="dxa"/>
        <w:tblInd w:w="-803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200"/>
        <w:gridCol w:w="2925"/>
      </w:tblGrid>
      <w:tr w:rsidR="00A308B3" w:rsidTr="00A308B3">
        <w:trPr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:rsidR="00A308B3" w:rsidRDefault="00A308B3">
            <w:pPr>
              <w:spacing w:before="100" w:beforeAutospacing="1" w:after="150" w:line="288" w:lineRule="atLeast"/>
              <w:jc w:val="right"/>
              <w:rPr>
                <w:i/>
                <w:iCs/>
                <w:sz w:val="21"/>
                <w:szCs w:val="21"/>
              </w:rPr>
            </w:pPr>
            <w:r>
              <w:rPr>
                <w:i/>
                <w:iCs/>
                <w:sz w:val="21"/>
                <w:szCs w:val="21"/>
              </w:rPr>
              <w:t>Таблица 1.5 – Нормативно-правовое обеспечение информационной деятельности</w:t>
            </w:r>
          </w:p>
        </w:tc>
      </w:tr>
      <w:tr w:rsidR="00A308B3" w:rsidTr="00A308B3">
        <w:trPr>
          <w:tblCellSpacing w:w="15" w:type="dxa"/>
        </w:trPr>
        <w:tc>
          <w:tcPr>
            <w:tcW w:w="0" w:type="auto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:rsidR="00A308B3" w:rsidRDefault="00A308B3">
            <w:pPr>
              <w:spacing w:before="100" w:beforeAutospacing="1" w:after="150" w:line="288" w:lineRule="atLeast"/>
              <w:jc w:val="center"/>
              <w:rPr>
                <w:b/>
                <w:bCs/>
                <w:color w:val="981917"/>
                <w:sz w:val="21"/>
                <w:szCs w:val="21"/>
              </w:rPr>
            </w:pPr>
            <w:r>
              <w:rPr>
                <w:b/>
                <w:bCs/>
                <w:color w:val="981917"/>
                <w:sz w:val="21"/>
                <w:szCs w:val="21"/>
              </w:rPr>
              <w:t>Раздел</w:t>
            </w:r>
          </w:p>
        </w:tc>
        <w:tc>
          <w:tcPr>
            <w:tcW w:w="0" w:type="auto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:rsidR="00A308B3" w:rsidRDefault="00A308B3">
            <w:pPr>
              <w:spacing w:before="100" w:beforeAutospacing="1" w:after="150" w:line="288" w:lineRule="atLeast"/>
              <w:jc w:val="center"/>
              <w:rPr>
                <w:b/>
                <w:bCs/>
                <w:color w:val="981917"/>
                <w:sz w:val="21"/>
                <w:szCs w:val="21"/>
              </w:rPr>
            </w:pPr>
            <w:r>
              <w:rPr>
                <w:b/>
                <w:bCs/>
                <w:color w:val="981917"/>
                <w:sz w:val="21"/>
                <w:szCs w:val="21"/>
              </w:rPr>
              <w:t>Перечень документов</w:t>
            </w:r>
          </w:p>
        </w:tc>
      </w:tr>
      <w:tr w:rsidR="00A308B3" w:rsidTr="00A308B3">
        <w:trPr>
          <w:tblCellSpacing w:w="15" w:type="dxa"/>
        </w:trPr>
        <w:tc>
          <w:tcPr>
            <w:tcW w:w="0" w:type="auto"/>
            <w:vMerge w:val="restar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A308B3" w:rsidRDefault="00A308B3">
            <w:pPr>
              <w:spacing w:before="100" w:beforeAutospacing="1" w:after="150" w:line="288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Основные нормативно- правовые акты Информационного права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A308B3" w:rsidRDefault="00A308B3">
            <w:pPr>
              <w:spacing w:before="100" w:beforeAutospacing="1" w:after="150" w:line="288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</w:tr>
      <w:tr w:rsidR="00A308B3" w:rsidTr="00A308B3">
        <w:trPr>
          <w:tblCellSpacing w:w="15" w:type="dxa"/>
        </w:trPr>
        <w:tc>
          <w:tcPr>
            <w:tcW w:w="0" w:type="auto"/>
            <w:vMerge/>
            <w:shd w:val="clear" w:color="auto" w:fill="FAF0E6"/>
            <w:vAlign w:val="center"/>
            <w:hideMark/>
          </w:tcPr>
          <w:p w:rsidR="00A308B3" w:rsidRDefault="00A308B3">
            <w:pPr>
              <w:spacing w:before="100" w:beforeAutospacing="1" w:after="150" w:line="288" w:lineRule="atLeast"/>
              <w:rPr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A308B3" w:rsidRDefault="00A308B3">
            <w:pPr>
              <w:spacing w:before="100" w:beforeAutospacing="1" w:after="150" w:line="288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</w:tr>
      <w:tr w:rsidR="00A308B3" w:rsidTr="00A308B3">
        <w:trPr>
          <w:tblCellSpacing w:w="15" w:type="dxa"/>
        </w:trPr>
        <w:tc>
          <w:tcPr>
            <w:tcW w:w="0" w:type="auto"/>
            <w:vMerge/>
            <w:shd w:val="clear" w:color="auto" w:fill="FAEBD7"/>
            <w:vAlign w:val="center"/>
            <w:hideMark/>
          </w:tcPr>
          <w:p w:rsidR="00A308B3" w:rsidRDefault="00A308B3">
            <w:pPr>
              <w:spacing w:before="100" w:beforeAutospacing="1" w:after="150" w:line="288" w:lineRule="atLeast"/>
              <w:rPr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A308B3" w:rsidRDefault="00A308B3">
            <w:pPr>
              <w:spacing w:before="100" w:beforeAutospacing="1" w:after="150" w:line="288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</w:tr>
      <w:tr w:rsidR="00A308B3" w:rsidTr="00A308B3">
        <w:trPr>
          <w:tblCellSpacing w:w="15" w:type="dxa"/>
        </w:trPr>
        <w:tc>
          <w:tcPr>
            <w:tcW w:w="0" w:type="auto"/>
            <w:vMerge/>
            <w:shd w:val="clear" w:color="auto" w:fill="FAF0E6"/>
            <w:vAlign w:val="center"/>
            <w:hideMark/>
          </w:tcPr>
          <w:p w:rsidR="00A308B3" w:rsidRDefault="00A308B3">
            <w:pPr>
              <w:spacing w:before="100" w:beforeAutospacing="1" w:after="150" w:line="288" w:lineRule="atLeast"/>
              <w:rPr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A308B3" w:rsidRDefault="00A308B3">
            <w:pPr>
              <w:spacing w:before="100" w:beforeAutospacing="1" w:after="150" w:line="288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. . .</w:t>
            </w:r>
          </w:p>
        </w:tc>
      </w:tr>
      <w:tr w:rsidR="00A308B3" w:rsidTr="00A308B3">
        <w:trPr>
          <w:tblCellSpacing w:w="15" w:type="dxa"/>
        </w:trPr>
        <w:tc>
          <w:tcPr>
            <w:tcW w:w="0" w:type="auto"/>
            <w:vMerge w:val="restar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A308B3" w:rsidRDefault="00A308B3">
            <w:pPr>
              <w:spacing w:before="100" w:beforeAutospacing="1" w:after="150" w:line="288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Основное законодательство о программах для ЭВМ (и БД)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A308B3" w:rsidRDefault="00A308B3">
            <w:pPr>
              <w:spacing w:before="100" w:beforeAutospacing="1" w:after="150" w:line="288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</w:tr>
      <w:tr w:rsidR="00A308B3" w:rsidTr="00A308B3">
        <w:trPr>
          <w:tblCellSpacing w:w="15" w:type="dxa"/>
        </w:trPr>
        <w:tc>
          <w:tcPr>
            <w:tcW w:w="0" w:type="auto"/>
            <w:vMerge/>
            <w:shd w:val="clear" w:color="auto" w:fill="FAF0E6"/>
            <w:vAlign w:val="center"/>
            <w:hideMark/>
          </w:tcPr>
          <w:p w:rsidR="00A308B3" w:rsidRDefault="00A308B3">
            <w:pPr>
              <w:spacing w:before="100" w:beforeAutospacing="1" w:after="150" w:line="288" w:lineRule="atLeast"/>
              <w:rPr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A308B3" w:rsidRDefault="00A308B3">
            <w:pPr>
              <w:spacing w:before="100" w:beforeAutospacing="1" w:after="150" w:line="288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</w:tr>
      <w:tr w:rsidR="00A308B3" w:rsidTr="00A308B3">
        <w:trPr>
          <w:tblCellSpacing w:w="15" w:type="dxa"/>
        </w:trPr>
        <w:tc>
          <w:tcPr>
            <w:tcW w:w="0" w:type="auto"/>
            <w:vMerge/>
            <w:shd w:val="clear" w:color="auto" w:fill="FAEBD7"/>
            <w:vAlign w:val="center"/>
            <w:hideMark/>
          </w:tcPr>
          <w:p w:rsidR="00A308B3" w:rsidRDefault="00A308B3">
            <w:pPr>
              <w:spacing w:before="100" w:beforeAutospacing="1" w:after="150" w:line="288" w:lineRule="atLeast"/>
              <w:rPr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A308B3" w:rsidRDefault="00A308B3">
            <w:pPr>
              <w:spacing w:before="100" w:beforeAutospacing="1" w:after="150" w:line="288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</w:tr>
      <w:tr w:rsidR="00A308B3" w:rsidTr="00A308B3">
        <w:trPr>
          <w:tblCellSpacing w:w="15" w:type="dxa"/>
        </w:trPr>
        <w:tc>
          <w:tcPr>
            <w:tcW w:w="0" w:type="auto"/>
            <w:vMerge/>
            <w:shd w:val="clear" w:color="auto" w:fill="FAF0E6"/>
            <w:vAlign w:val="center"/>
            <w:hideMark/>
          </w:tcPr>
          <w:p w:rsidR="00A308B3" w:rsidRDefault="00A308B3">
            <w:pPr>
              <w:spacing w:before="100" w:beforeAutospacing="1" w:after="150" w:line="288" w:lineRule="atLeast"/>
              <w:rPr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A308B3" w:rsidRDefault="00A308B3">
            <w:pPr>
              <w:spacing w:before="100" w:beforeAutospacing="1" w:after="150" w:line="288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. . .</w:t>
            </w:r>
          </w:p>
        </w:tc>
      </w:tr>
      <w:tr w:rsidR="00A308B3" w:rsidTr="00A308B3">
        <w:trPr>
          <w:tblCellSpacing w:w="15" w:type="dxa"/>
        </w:trPr>
        <w:tc>
          <w:tcPr>
            <w:tcW w:w="0" w:type="auto"/>
            <w:vMerge w:val="restar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A308B3" w:rsidRDefault="00A308B3">
            <w:pPr>
              <w:spacing w:before="100" w:beforeAutospacing="1" w:after="150" w:line="288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Законодательство, связанное с Интернет-деятельностью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A308B3" w:rsidRDefault="00A308B3">
            <w:pPr>
              <w:spacing w:before="100" w:beforeAutospacing="1" w:after="150" w:line="288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</w:tr>
      <w:tr w:rsidR="00A308B3" w:rsidTr="00A308B3">
        <w:trPr>
          <w:tblCellSpacing w:w="15" w:type="dxa"/>
        </w:trPr>
        <w:tc>
          <w:tcPr>
            <w:tcW w:w="0" w:type="auto"/>
            <w:vMerge/>
            <w:shd w:val="clear" w:color="auto" w:fill="FAF0E6"/>
            <w:vAlign w:val="center"/>
            <w:hideMark/>
          </w:tcPr>
          <w:p w:rsidR="00A308B3" w:rsidRDefault="00A308B3">
            <w:pPr>
              <w:spacing w:before="100" w:beforeAutospacing="1" w:after="150" w:line="288" w:lineRule="atLeast"/>
              <w:rPr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A308B3" w:rsidRDefault="00A308B3">
            <w:pPr>
              <w:spacing w:before="100" w:beforeAutospacing="1" w:after="150" w:line="288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</w:tr>
      <w:tr w:rsidR="00A308B3" w:rsidTr="00A308B3">
        <w:trPr>
          <w:tblCellSpacing w:w="15" w:type="dxa"/>
        </w:trPr>
        <w:tc>
          <w:tcPr>
            <w:tcW w:w="0" w:type="auto"/>
            <w:vMerge/>
            <w:shd w:val="clear" w:color="auto" w:fill="FAEBD7"/>
            <w:vAlign w:val="center"/>
            <w:hideMark/>
          </w:tcPr>
          <w:p w:rsidR="00A308B3" w:rsidRDefault="00A308B3">
            <w:pPr>
              <w:spacing w:before="100" w:beforeAutospacing="1" w:after="150" w:line="288" w:lineRule="atLeast"/>
              <w:rPr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A308B3" w:rsidRDefault="00A308B3">
            <w:pPr>
              <w:spacing w:before="100" w:beforeAutospacing="1" w:after="150" w:line="288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</w:tr>
      <w:tr w:rsidR="00A308B3" w:rsidTr="00A308B3">
        <w:trPr>
          <w:tblCellSpacing w:w="15" w:type="dxa"/>
        </w:trPr>
        <w:tc>
          <w:tcPr>
            <w:tcW w:w="0" w:type="auto"/>
            <w:vMerge/>
            <w:shd w:val="clear" w:color="auto" w:fill="FAF0E6"/>
            <w:vAlign w:val="center"/>
            <w:hideMark/>
          </w:tcPr>
          <w:p w:rsidR="00A308B3" w:rsidRDefault="00A308B3">
            <w:pPr>
              <w:spacing w:before="100" w:beforeAutospacing="1" w:after="150" w:line="288" w:lineRule="atLeast"/>
              <w:rPr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A308B3" w:rsidRDefault="00A308B3">
            <w:pPr>
              <w:spacing w:before="100" w:beforeAutospacing="1" w:after="150" w:line="288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. . .</w:t>
            </w:r>
          </w:p>
        </w:tc>
      </w:tr>
      <w:tr w:rsidR="00A308B3" w:rsidTr="00A308B3">
        <w:trPr>
          <w:tblCellSpacing w:w="15" w:type="dxa"/>
        </w:trPr>
        <w:tc>
          <w:tcPr>
            <w:tcW w:w="0" w:type="auto"/>
            <w:vMerge w:val="restar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A308B3" w:rsidRDefault="00A308B3">
            <w:pPr>
              <w:spacing w:before="100" w:beforeAutospacing="1" w:after="150" w:line="288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Подзаконные акты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A308B3" w:rsidRDefault="00A308B3">
            <w:pPr>
              <w:spacing w:before="100" w:beforeAutospacing="1" w:after="150" w:line="288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</w:tr>
      <w:tr w:rsidR="00A308B3" w:rsidTr="00A308B3">
        <w:trPr>
          <w:tblCellSpacing w:w="15" w:type="dxa"/>
        </w:trPr>
        <w:tc>
          <w:tcPr>
            <w:tcW w:w="0" w:type="auto"/>
            <w:vMerge/>
            <w:shd w:val="clear" w:color="auto" w:fill="FAF0E6"/>
            <w:vAlign w:val="center"/>
            <w:hideMark/>
          </w:tcPr>
          <w:p w:rsidR="00A308B3" w:rsidRDefault="00A308B3">
            <w:pPr>
              <w:spacing w:before="100" w:beforeAutospacing="1" w:after="150" w:line="288" w:lineRule="atLeast"/>
              <w:rPr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A308B3" w:rsidRDefault="00A308B3">
            <w:pPr>
              <w:spacing w:before="100" w:beforeAutospacing="1" w:after="150" w:line="288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</w:tr>
      <w:tr w:rsidR="00A308B3" w:rsidTr="00A308B3">
        <w:trPr>
          <w:tblCellSpacing w:w="15" w:type="dxa"/>
        </w:trPr>
        <w:tc>
          <w:tcPr>
            <w:tcW w:w="0" w:type="auto"/>
            <w:vMerge/>
            <w:shd w:val="clear" w:color="auto" w:fill="FAEBD7"/>
            <w:vAlign w:val="center"/>
            <w:hideMark/>
          </w:tcPr>
          <w:p w:rsidR="00A308B3" w:rsidRDefault="00A308B3">
            <w:pPr>
              <w:spacing w:before="100" w:beforeAutospacing="1" w:after="150" w:line="288" w:lineRule="atLeast"/>
              <w:rPr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A308B3" w:rsidRDefault="00A308B3">
            <w:pPr>
              <w:spacing w:before="100" w:beforeAutospacing="1" w:after="150" w:line="288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</w:tr>
      <w:tr w:rsidR="00A308B3" w:rsidTr="00A308B3">
        <w:trPr>
          <w:tblCellSpacing w:w="15" w:type="dxa"/>
        </w:trPr>
        <w:tc>
          <w:tcPr>
            <w:tcW w:w="0" w:type="auto"/>
            <w:vMerge/>
            <w:shd w:val="clear" w:color="auto" w:fill="FAF0E6"/>
            <w:vAlign w:val="center"/>
            <w:hideMark/>
          </w:tcPr>
          <w:p w:rsidR="00A308B3" w:rsidRDefault="00A308B3">
            <w:pPr>
              <w:spacing w:before="100" w:beforeAutospacing="1" w:after="150" w:line="288" w:lineRule="atLeast"/>
              <w:rPr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A308B3" w:rsidRDefault="00A308B3">
            <w:pPr>
              <w:spacing w:before="100" w:beforeAutospacing="1" w:after="150" w:line="288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. . .</w:t>
            </w:r>
          </w:p>
        </w:tc>
      </w:tr>
    </w:tbl>
    <w:p w:rsidR="00A308B3" w:rsidRPr="00A308B3" w:rsidRDefault="00A308B3" w:rsidP="00A308B3">
      <w:pPr>
        <w:numPr>
          <w:ilvl w:val="0"/>
          <w:numId w:val="2"/>
        </w:numPr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>
        <w:rPr>
          <w:rFonts w:ascii="Arial" w:hAnsi="Arial" w:cs="Arial"/>
          <w:color w:val="000000"/>
          <w:sz w:val="21"/>
          <w:szCs w:val="21"/>
        </w:rPr>
        <w:t>В справочно-правовой системе "Гарант" найти Гражданский кодекс (ч. 4,), изучить Главу 69. "Общие положения" Раздела VII. "Права на результаты интеллектуальной деятельности и средства индивидуализации".</w:t>
      </w:r>
      <w:r>
        <w:rPr>
          <w:rFonts w:ascii="Arial" w:hAnsi="Arial" w:cs="Arial"/>
          <w:color w:val="000000"/>
          <w:sz w:val="21"/>
          <w:szCs w:val="21"/>
        </w:rPr>
        <w:br/>
        <w:t xml:space="preserve">Дать письменный ответ на вопрос: Какие объекты интеллектуальной собственности, </w:t>
      </w:r>
      <w:r>
        <w:rPr>
          <w:rFonts w:ascii="Arial" w:hAnsi="Arial" w:cs="Arial"/>
          <w:color w:val="000000"/>
          <w:sz w:val="21"/>
          <w:szCs w:val="21"/>
        </w:rPr>
        <w:lastRenderedPageBreak/>
        <w:t xml:space="preserve">касающиеся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обл</w:t>
      </w:r>
      <w:r w:rsidRPr="00A308B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сти</w:t>
      </w:r>
      <w:proofErr w:type="spellEnd"/>
      <w:r w:rsidRPr="00A308B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ИТ, являются объектом правового регулирования гл. 69 Гражданского кодекса?</w:t>
      </w:r>
    </w:p>
    <w:p w:rsidR="00A308B3" w:rsidRPr="00A308B3" w:rsidRDefault="00A308B3" w:rsidP="00A308B3">
      <w:pPr>
        <w:numPr>
          <w:ilvl w:val="0"/>
          <w:numId w:val="2"/>
        </w:numPr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308B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 справочно-правовой системе "Гарант" найти Федеральный закон от 27 июля 2006 г. № 149-ФЗ "Об информации, информационных технологиях и защите информации".</w:t>
      </w:r>
      <w:r w:rsidRPr="00A308B3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Дать письменный ответ на вопрос: Какие виды ответственности за правонарушения в сфере информации, информационных технологий и защиты информации предусмотрены данным Федеральным законом?</w:t>
      </w:r>
    </w:p>
    <w:p w:rsidR="00A308B3" w:rsidRPr="00A308B3" w:rsidRDefault="00A308B3" w:rsidP="00A308B3">
      <w:pPr>
        <w:numPr>
          <w:ilvl w:val="0"/>
          <w:numId w:val="2"/>
        </w:numPr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308B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Составить отчет.</w:t>
      </w:r>
    </w:p>
    <w:p w:rsidR="00A308B3" w:rsidRPr="00A308B3" w:rsidRDefault="00A308B3" w:rsidP="00A308B3">
      <w:pPr>
        <w:pBdr>
          <w:bottom w:val="single" w:sz="6" w:space="8" w:color="999999"/>
        </w:pBdr>
        <w:shd w:val="clear" w:color="auto" w:fill="FFFFFF"/>
        <w:spacing w:beforeAutospacing="1" w:after="10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A308B3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4. Содержание отчета</w:t>
      </w:r>
    </w:p>
    <w:p w:rsidR="00A308B3" w:rsidRPr="00A308B3" w:rsidRDefault="00A308B3" w:rsidP="00A308B3">
      <w:pPr>
        <w:numPr>
          <w:ilvl w:val="0"/>
          <w:numId w:val="3"/>
        </w:numPr>
        <w:shd w:val="clear" w:color="auto" w:fill="FFFFFF"/>
        <w:spacing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308B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Название практической работы</w:t>
      </w:r>
    </w:p>
    <w:p w:rsidR="00A308B3" w:rsidRPr="00A308B3" w:rsidRDefault="00A308B3" w:rsidP="00A308B3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308B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Цель работы.</w:t>
      </w:r>
    </w:p>
    <w:p w:rsidR="00A308B3" w:rsidRPr="00A308B3" w:rsidRDefault="00A308B3" w:rsidP="00A308B3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308B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Заполненные таблицы 1.1-1.5</w:t>
      </w:r>
    </w:p>
    <w:p w:rsidR="00A308B3" w:rsidRPr="00A308B3" w:rsidRDefault="00A308B3" w:rsidP="00A308B3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308B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Ответы на вопросы </w:t>
      </w:r>
      <w:proofErr w:type="spellStart"/>
      <w:r w:rsidRPr="00A308B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пп</w:t>
      </w:r>
      <w:proofErr w:type="spellEnd"/>
      <w:r w:rsidRPr="00A308B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 6-7.</w:t>
      </w:r>
    </w:p>
    <w:p w:rsidR="00A308B3" w:rsidRPr="00A308B3" w:rsidRDefault="00A308B3" w:rsidP="00A308B3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308B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Выводы по работе.</w:t>
      </w:r>
      <w:bookmarkStart w:id="0" w:name="_GoBack"/>
      <w:bookmarkEnd w:id="0"/>
    </w:p>
    <w:p w:rsidR="00A308B3" w:rsidRPr="00A308B3" w:rsidRDefault="00A308B3">
      <w:pPr>
        <w:rPr>
          <w:b/>
        </w:rPr>
      </w:pPr>
    </w:p>
    <w:sectPr w:rsidR="00A308B3" w:rsidRPr="00A308B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6E72DE"/>
    <w:multiLevelType w:val="multilevel"/>
    <w:tmpl w:val="E3CCAB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9366A58"/>
    <w:multiLevelType w:val="multilevel"/>
    <w:tmpl w:val="0FD4AB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1FD7256"/>
    <w:multiLevelType w:val="multilevel"/>
    <w:tmpl w:val="1A3E08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6AA6"/>
    <w:rsid w:val="000C1AF5"/>
    <w:rsid w:val="00526333"/>
    <w:rsid w:val="00896AA6"/>
    <w:rsid w:val="00A308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62A259"/>
  <w15:chartTrackingRefBased/>
  <w15:docId w15:val="{D0423B8C-F8EA-40D4-846E-7FD036668B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0C1AF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0C1AF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C1AF5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0C1AF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otstup">
    <w:name w:val="otstup"/>
    <w:basedOn w:val="a"/>
    <w:rsid w:val="000C1AF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0C1AF5"/>
    <w:rPr>
      <w:color w:val="0000FF"/>
      <w:u w:val="single"/>
    </w:rPr>
  </w:style>
  <w:style w:type="character" w:styleId="a4">
    <w:name w:val="Strong"/>
    <w:basedOn w:val="a0"/>
    <w:uiPriority w:val="22"/>
    <w:qFormat/>
    <w:rsid w:val="000C1AF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25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3801975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305936795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161433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9914684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858542149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35022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02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121066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586964496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123994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1712608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1246114628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ocs.cntd.ru/document/gost-34-601-90" TargetMode="External"/><Relationship Id="rId13" Type="http://schemas.openxmlformats.org/officeDocument/2006/relationships/hyperlink" Target="http://docs.cntd.ru/document/gost-r-iso-mek-12207-2010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docs.cntd.ru/document/1200008642" TargetMode="External"/><Relationship Id="rId12" Type="http://schemas.openxmlformats.org/officeDocument/2006/relationships/hyperlink" Target="http://docs.cntd.ru/document/gost-r-iso-mek-12207-2010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://docs.cntd.ru/document/gost-34-601-90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files.stroyinf.ru/Data2/1/4294850/4294850134.pdf" TargetMode="External"/><Relationship Id="rId11" Type="http://schemas.openxmlformats.org/officeDocument/2006/relationships/hyperlink" Target="http://docs.cntd.ru/document/gost-r-iso-mek-12207-2010" TargetMode="External"/><Relationship Id="rId5" Type="http://schemas.openxmlformats.org/officeDocument/2006/relationships/hyperlink" Target="http://docs.cntd.ru/document/gost-34-601-90" TargetMode="External"/><Relationship Id="rId15" Type="http://schemas.openxmlformats.org/officeDocument/2006/relationships/hyperlink" Target="http://docs.cntd.ru/document/gost-34-201-89" TargetMode="External"/><Relationship Id="rId10" Type="http://schemas.openxmlformats.org/officeDocument/2006/relationships/hyperlink" Target="http://docs.cntd.ru/document/gost-r-iso-mek-12207-2010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docs.cntd.ru/document/gost-r-iso-mek-12207-2010" TargetMode="External"/><Relationship Id="rId1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7</Pages>
  <Words>1990</Words>
  <Characters>11345</Characters>
  <Application>Microsoft Office Word</Application>
  <DocSecurity>0</DocSecurity>
  <Lines>94</Lines>
  <Paragraphs>26</Paragraphs>
  <ScaleCrop>false</ScaleCrop>
  <Company>Reanimator Extreme Edition</Company>
  <LinksUpToDate>false</LinksUpToDate>
  <CharactersWithSpaces>13309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3</cp:revision>
  <dcterms:created xsi:type="dcterms:W3CDTF">2022-08-31T05:57:00Z</dcterms:created>
  <dcterms:modified xsi:type="dcterms:W3CDTF">2022-08-31T06:01:00Z</dcterms:modified>
</cp:coreProperties>
</file>