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ind w:right="57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097424" cy="107342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424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7"/>
        <w:gridCol w:w="4812"/>
      </w:tblGrid>
      <w:tr>
        <w:tc>
          <w:tcPr>
            <w:tcW w:w="4956" w:type="dxa"/>
          </w:tcPr>
          <w:p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Руководитель практики</w:t>
            </w:r>
          </w:p>
          <w:p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от профильной организации/</w:t>
            </w:r>
          </w:p>
          <w:p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от профильного структурного</w:t>
            </w:r>
          </w:p>
          <w:p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подразделения Университета*</w:t>
            </w:r>
          </w:p>
          <w:p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_______________</w:t>
            </w:r>
            <w:r>
              <w:rPr>
                <w:noProof/>
                <w:sz w:val="26"/>
                <w:szCs w:val="26"/>
              </w:rPr>
              <w:t xml:space="preserve"> /                  /</w:t>
            </w:r>
          </w:p>
          <w:p>
            <w:pPr>
              <w:rPr>
                <w:b/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«    »             20__ г.</w:t>
            </w:r>
            <w:r>
              <w:rPr>
                <w:rFonts w:ascii="Calibri" w:eastAsia="Calibri" w:hAnsi="Calibri"/>
                <w:noProof/>
                <w:sz w:val="26"/>
                <w:szCs w:val="26"/>
              </w:rPr>
              <w:t xml:space="preserve"> </w:t>
            </w:r>
          </w:p>
        </w:tc>
        <w:tc>
          <w:tcPr>
            <w:tcW w:w="4956" w:type="dxa"/>
          </w:tcPr>
          <w:p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 xml:space="preserve">Руководитель практики </w:t>
            </w:r>
          </w:p>
          <w:p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от Университета</w:t>
            </w:r>
          </w:p>
          <w:p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noProof/>
                <w:sz w:val="26"/>
                <w:szCs w:val="26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396284</wp:posOffset>
                  </wp:positionH>
                  <wp:positionV relativeFrom="paragraph">
                    <wp:posOffset>102752</wp:posOffset>
                  </wp:positionV>
                  <wp:extent cx="1514475" cy="276225"/>
                  <wp:effectExtent l="0" t="0" r="9525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76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____________</w:t>
            </w:r>
            <w:proofErr w:type="gramStart"/>
            <w:r>
              <w:rPr>
                <w:bCs/>
                <w:iCs/>
                <w:sz w:val="26"/>
                <w:szCs w:val="26"/>
                <w:lang w:eastAsia="x-none"/>
              </w:rPr>
              <w:t>/  С.А.</w:t>
            </w:r>
            <w:proofErr w:type="gramEnd"/>
            <w:r>
              <w:rPr>
                <w:bCs/>
                <w:iCs/>
                <w:sz w:val="26"/>
                <w:szCs w:val="26"/>
                <w:lang w:eastAsia="x-none"/>
              </w:rPr>
              <w:t xml:space="preserve"> Зайцев /</w:t>
            </w:r>
          </w:p>
          <w:p>
            <w:pPr>
              <w:jc w:val="right"/>
              <w:rPr>
                <w:b/>
                <w:bCs/>
                <w:iCs/>
                <w:sz w:val="28"/>
                <w:szCs w:val="28"/>
                <w:highlight w:val="yellow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«26» мая 2023 г.</w:t>
            </w:r>
          </w:p>
        </w:tc>
      </w:tr>
    </w:tbl>
    <w:p>
      <w:pPr>
        <w:jc w:val="center"/>
        <w:rPr>
          <w:b/>
          <w:bCs/>
          <w:iCs/>
          <w:sz w:val="28"/>
          <w:szCs w:val="28"/>
          <w:lang w:eastAsia="x-none"/>
        </w:rPr>
      </w:pPr>
    </w:p>
    <w:p>
      <w:pPr>
        <w:jc w:val="center"/>
        <w:rPr>
          <w:b/>
          <w:bCs/>
          <w:iCs/>
          <w:sz w:val="28"/>
          <w:szCs w:val="28"/>
          <w:lang w:eastAsia="x-none"/>
        </w:rPr>
      </w:pPr>
    </w:p>
    <w:p>
      <w:pPr>
        <w:jc w:val="center"/>
        <w:rPr>
          <w:b/>
          <w:bCs/>
          <w:iCs/>
          <w:sz w:val="28"/>
          <w:szCs w:val="28"/>
          <w:lang w:eastAsia="x-none"/>
        </w:rPr>
      </w:pPr>
    </w:p>
    <w:p>
      <w:pPr>
        <w:jc w:val="center"/>
        <w:rPr>
          <w:b/>
          <w:bCs/>
          <w:iCs/>
          <w:sz w:val="28"/>
          <w:szCs w:val="28"/>
          <w:lang w:eastAsia="x-none"/>
        </w:rPr>
      </w:pPr>
    </w:p>
    <w:p>
      <w:pPr>
        <w:jc w:val="center"/>
        <w:rPr>
          <w:b/>
          <w:bCs/>
          <w:iCs/>
          <w:sz w:val="28"/>
          <w:szCs w:val="28"/>
          <w:lang w:eastAsia="x-none"/>
        </w:rPr>
      </w:pPr>
    </w:p>
    <w:p>
      <w:pPr>
        <w:jc w:val="center"/>
        <w:rPr>
          <w:b/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ИНДИВИДУАЛЬНОЕ ЗАДАНИЕ</w:t>
      </w:r>
    </w:p>
    <w:p>
      <w:pPr>
        <w:jc w:val="center"/>
        <w:rPr>
          <w:b/>
          <w:bCs/>
          <w:iCs/>
          <w:sz w:val="28"/>
          <w:szCs w:val="28"/>
          <w:lang w:eastAsia="x-none"/>
        </w:rPr>
      </w:pPr>
    </w:p>
    <w:p>
      <w:pPr>
        <w:jc w:val="center"/>
        <w:rPr>
          <w:b/>
          <w:bCs/>
          <w:iCs/>
          <w:sz w:val="28"/>
          <w:szCs w:val="28"/>
          <w:lang w:eastAsia="x-none"/>
        </w:rPr>
      </w:pPr>
    </w:p>
    <w:p>
      <w:pPr>
        <w:rPr>
          <w:bCs/>
          <w:iCs/>
          <w:sz w:val="28"/>
          <w:szCs w:val="28"/>
          <w:u w:val="single"/>
          <w:lang w:eastAsia="x-none"/>
        </w:rPr>
      </w:pPr>
      <w:r>
        <w:rPr>
          <w:bCs/>
          <w:iCs/>
          <w:sz w:val="28"/>
          <w:szCs w:val="28"/>
          <w:lang w:eastAsia="x-none"/>
        </w:rPr>
        <w:t>Студент</w:t>
      </w:r>
      <w:r>
        <w:rPr>
          <w:bCs/>
          <w:iCs/>
          <w:sz w:val="28"/>
          <w:szCs w:val="28"/>
          <w:u w:val="single"/>
          <w:lang w:eastAsia="x-none"/>
        </w:rPr>
        <w:t xml:space="preserve"> </w:t>
      </w:r>
      <w:proofErr w:type="spellStart"/>
      <w:r>
        <w:rPr>
          <w:bCs/>
          <w:iCs/>
          <w:sz w:val="28"/>
          <w:szCs w:val="28"/>
          <w:u w:val="single"/>
          <w:lang w:eastAsia="x-none"/>
        </w:rPr>
        <w:t>Гулуа</w:t>
      </w:r>
      <w:proofErr w:type="spellEnd"/>
      <w:r>
        <w:rPr>
          <w:bCs/>
          <w:iCs/>
          <w:sz w:val="28"/>
          <w:szCs w:val="28"/>
          <w:u w:val="single"/>
          <w:lang w:eastAsia="x-none"/>
        </w:rPr>
        <w:t xml:space="preserve"> </w:t>
      </w:r>
      <w:proofErr w:type="spellStart"/>
      <w:r>
        <w:rPr>
          <w:bCs/>
          <w:iCs/>
          <w:sz w:val="28"/>
          <w:szCs w:val="28"/>
          <w:u w:val="single"/>
          <w:lang w:eastAsia="x-none"/>
        </w:rPr>
        <w:t>Автандил</w:t>
      </w:r>
      <w:proofErr w:type="spellEnd"/>
      <w:r>
        <w:rPr>
          <w:bCs/>
          <w:iCs/>
          <w:sz w:val="28"/>
          <w:szCs w:val="28"/>
          <w:u w:val="single"/>
          <w:lang w:eastAsia="x-none"/>
        </w:rPr>
        <w:t xml:space="preserve"> </w:t>
      </w:r>
      <w:proofErr w:type="spellStart"/>
      <w:r>
        <w:rPr>
          <w:bCs/>
          <w:iCs/>
          <w:sz w:val="28"/>
          <w:szCs w:val="28"/>
          <w:u w:val="single"/>
          <w:lang w:eastAsia="x-none"/>
        </w:rPr>
        <w:t>Гиоргиевич</w:t>
      </w:r>
      <w:proofErr w:type="spellEnd"/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Направление подготовки </w:t>
      </w:r>
    </w:p>
    <w:p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(специальность) </w:t>
      </w:r>
      <w:r>
        <w:rPr>
          <w:bCs/>
          <w:iCs/>
          <w:sz w:val="28"/>
          <w:szCs w:val="28"/>
          <w:u w:val="single"/>
          <w:lang w:eastAsia="x-none"/>
        </w:rPr>
        <w:t>38.03.05 «Бизнес-информатика»</w:t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>
      <w:pPr>
        <w:rPr>
          <w:bCs/>
          <w:iCs/>
          <w:lang w:eastAsia="x-none"/>
        </w:rPr>
      </w:pPr>
      <w:r>
        <w:rPr>
          <w:bCs/>
          <w:iCs/>
          <w:lang w:eastAsia="x-none"/>
        </w:rPr>
        <w:t xml:space="preserve">                                   /шифр, наименование направления подготовки (специальности)/</w:t>
      </w:r>
    </w:p>
    <w:p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Тип практики    </w:t>
      </w:r>
      <w:r>
        <w:rPr>
          <w:bCs/>
          <w:iCs/>
          <w:sz w:val="28"/>
          <w:szCs w:val="28"/>
          <w:u w:val="single"/>
          <w:lang w:eastAsia="x-none"/>
        </w:rPr>
        <w:t>ознакомительная практика</w:t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>Период практики с «29» мая 2023 г.  по «11» июня 2023 г.</w:t>
      </w:r>
    </w:p>
    <w:p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Профильная организация: (профильное структурное подразделение Университета) </w:t>
      </w:r>
      <w:r>
        <w:rPr>
          <w:bCs/>
          <w:iCs/>
          <w:sz w:val="28"/>
          <w:szCs w:val="28"/>
          <w:u w:val="single"/>
          <w:lang w:eastAsia="x-none"/>
        </w:rPr>
        <w:t>кафедра информационных систем</w:t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>
      <w:pPr>
        <w:rPr>
          <w:bCs/>
          <w:iCs/>
          <w:sz w:val="24"/>
          <w:szCs w:val="32"/>
          <w:lang w:eastAsia="x-none"/>
        </w:rPr>
      </w:pPr>
    </w:p>
    <w:p>
      <w:pPr>
        <w:jc w:val="both"/>
        <w:rPr>
          <w:bCs/>
          <w:i/>
          <w:sz w:val="28"/>
          <w:szCs w:val="28"/>
        </w:rPr>
      </w:pPr>
    </w:p>
    <w:p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С требованиями охраны труда, техники безопасности, пожарной безопасности, а также правилами внутреннего трудового распорядка ознакомлен.</w:t>
      </w:r>
    </w:p>
    <w:p>
      <w:pPr>
        <w:jc w:val="both"/>
        <w:rPr>
          <w:bCs/>
          <w:i/>
          <w:iCs/>
          <w:sz w:val="24"/>
          <w:szCs w:val="32"/>
          <w:lang w:eastAsia="x-none"/>
        </w:rPr>
      </w:pPr>
    </w:p>
    <w:p>
      <w:pPr>
        <w:rPr>
          <w:bCs/>
          <w:iCs/>
          <w:sz w:val="24"/>
          <w:szCs w:val="32"/>
          <w:lang w:eastAsia="x-none"/>
        </w:rPr>
      </w:pPr>
    </w:p>
    <w:p>
      <w:pPr>
        <w:ind w:left="1134"/>
        <w:rPr>
          <w:bCs/>
          <w:iCs/>
          <w:sz w:val="24"/>
          <w:szCs w:val="32"/>
          <w:lang w:eastAsia="x-none"/>
        </w:rPr>
      </w:pPr>
      <w:r>
        <w:rPr>
          <w:bCs/>
          <w:iCs/>
          <w:sz w:val="24"/>
          <w:szCs w:val="32"/>
          <w:lang w:eastAsia="x-none"/>
        </w:rPr>
        <w:t xml:space="preserve">                                        ________________   /</w:t>
      </w:r>
      <w:r>
        <w:t xml:space="preserve"> </w:t>
      </w:r>
      <w:proofErr w:type="spellStart"/>
      <w:r>
        <w:rPr>
          <w:bCs/>
          <w:iCs/>
          <w:sz w:val="24"/>
          <w:szCs w:val="32"/>
          <w:lang w:eastAsia="x-none"/>
        </w:rPr>
        <w:t>Гулуа</w:t>
      </w:r>
      <w:proofErr w:type="spellEnd"/>
      <w:r>
        <w:rPr>
          <w:bCs/>
          <w:iCs/>
          <w:sz w:val="24"/>
          <w:szCs w:val="32"/>
          <w:lang w:eastAsia="x-none"/>
        </w:rPr>
        <w:t xml:space="preserve"> </w:t>
      </w:r>
      <w:proofErr w:type="spellStart"/>
      <w:r>
        <w:rPr>
          <w:bCs/>
          <w:iCs/>
          <w:sz w:val="24"/>
          <w:szCs w:val="32"/>
          <w:lang w:eastAsia="x-none"/>
        </w:rPr>
        <w:t>Автандил</w:t>
      </w:r>
      <w:proofErr w:type="spellEnd"/>
      <w:r>
        <w:rPr>
          <w:bCs/>
          <w:iCs/>
          <w:sz w:val="24"/>
          <w:szCs w:val="32"/>
          <w:lang w:eastAsia="x-none"/>
        </w:rPr>
        <w:t xml:space="preserve"> Гиоргиевич</w:t>
      </w:r>
      <w:bookmarkStart w:id="0" w:name="_GoBack"/>
      <w:bookmarkEnd w:id="0"/>
      <w:r>
        <w:rPr>
          <w:bCs/>
          <w:iCs/>
          <w:sz w:val="24"/>
          <w:szCs w:val="32"/>
          <w:lang w:eastAsia="x-none"/>
        </w:rPr>
        <w:t>/</w:t>
      </w:r>
    </w:p>
    <w:p>
      <w:pPr>
        <w:ind w:left="4395"/>
        <w:rPr>
          <w:bCs/>
          <w:iCs/>
          <w:lang w:eastAsia="x-none"/>
        </w:rPr>
      </w:pPr>
      <w:r>
        <w:rPr>
          <w:bCs/>
          <w:iCs/>
          <w:lang w:eastAsia="x-none"/>
        </w:rPr>
        <w:t>Подпись                       ФИО обучающегося</w:t>
      </w:r>
    </w:p>
    <w:p>
      <w:pPr>
        <w:jc w:val="right"/>
        <w:rPr>
          <w:bCs/>
          <w:iCs/>
          <w:sz w:val="24"/>
          <w:szCs w:val="32"/>
          <w:lang w:eastAsia="x-none"/>
        </w:rPr>
      </w:pPr>
      <w:r>
        <w:rPr>
          <w:bCs/>
          <w:iCs/>
          <w:sz w:val="24"/>
          <w:szCs w:val="32"/>
          <w:lang w:eastAsia="x-none"/>
        </w:rPr>
        <w:t>«26 мая 2023 г.</w:t>
      </w:r>
    </w:p>
    <w:p>
      <w:pPr>
        <w:jc w:val="center"/>
        <w:rPr>
          <w:b/>
          <w:bCs/>
          <w:iCs/>
          <w:sz w:val="28"/>
          <w:szCs w:val="28"/>
          <w:lang w:eastAsia="x-none"/>
        </w:rPr>
      </w:pPr>
    </w:p>
    <w:p>
      <w:pPr>
        <w:ind w:right="226"/>
        <w:jc w:val="center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                           </w:t>
      </w:r>
    </w:p>
    <w:p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*не вносится для практики, проводимой на кафедре Университета</w:t>
      </w:r>
    </w:p>
    <w:p>
      <w:pPr>
        <w:jc w:val="both"/>
        <w:rPr>
          <w:bCs/>
          <w:sz w:val="22"/>
          <w:szCs w:val="22"/>
        </w:rPr>
      </w:pPr>
    </w:p>
    <w:p>
      <w:pPr>
        <w:jc w:val="both"/>
        <w:rPr>
          <w:bCs/>
          <w:sz w:val="22"/>
          <w:szCs w:val="22"/>
        </w:rPr>
      </w:pPr>
    </w:p>
    <w:p>
      <w:pPr>
        <w:jc w:val="both"/>
        <w:rPr>
          <w:bCs/>
          <w:sz w:val="22"/>
          <w:szCs w:val="22"/>
        </w:rPr>
      </w:pPr>
    </w:p>
    <w:p>
      <w:pPr>
        <w:overflowPunct/>
        <w:autoSpaceDE/>
        <w:autoSpaceDN/>
        <w:adjustRightInd/>
        <w:textAlignment w:val="auto"/>
        <w:rPr>
          <w:rFonts w:eastAsia="Calibri"/>
          <w:b/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br w:type="page"/>
      </w:r>
    </w:p>
    <w:p>
      <w:pPr>
        <w:pStyle w:val="af6"/>
        <w:keepNext/>
        <w:spacing w:after="0" w:line="240" w:lineRule="auto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r>
        <w:rPr>
          <w:rFonts w:ascii="Times New Roman" w:hAnsi="Times New Roman"/>
          <w:b/>
          <w:bCs/>
          <w:iCs/>
          <w:sz w:val="28"/>
          <w:szCs w:val="28"/>
          <w:lang w:eastAsia="x-none"/>
        </w:rPr>
        <w:lastRenderedPageBreak/>
        <w:t>Содержание практики</w:t>
      </w:r>
    </w:p>
    <w:p>
      <w:pPr>
        <w:rPr>
          <w:b/>
          <w:bCs/>
          <w:iCs/>
          <w:sz w:val="28"/>
          <w:szCs w:val="28"/>
          <w:lang w:eastAsia="x-non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670"/>
        <w:gridCol w:w="1559"/>
        <w:gridCol w:w="1134"/>
      </w:tblGrid>
      <w:tr>
        <w:trPr>
          <w:trHeight w:val="20"/>
          <w:tblHeader/>
        </w:trPr>
        <w:tc>
          <w:tcPr>
            <w:tcW w:w="1413" w:type="dxa"/>
            <w:shd w:val="clear" w:color="auto" w:fill="D9D9D9"/>
            <w:vAlign w:val="center"/>
          </w:tcPr>
          <w:p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Период практики</w:t>
            </w:r>
          </w:p>
        </w:tc>
        <w:tc>
          <w:tcPr>
            <w:tcW w:w="5670" w:type="dxa"/>
            <w:shd w:val="clear" w:color="auto" w:fill="D9D9D9"/>
            <w:vAlign w:val="center"/>
          </w:tcPr>
          <w:p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работ</w:t>
            </w:r>
          </w:p>
        </w:tc>
        <w:tc>
          <w:tcPr>
            <w:tcW w:w="1559" w:type="dxa"/>
            <w:shd w:val="clear" w:color="auto" w:fill="D9D9D9"/>
            <w:vAlign w:val="center"/>
          </w:tcPr>
          <w:p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Планируемые результаты практики (формируемые компетенции)</w:t>
            </w:r>
          </w:p>
        </w:tc>
        <w:tc>
          <w:tcPr>
            <w:tcW w:w="1134" w:type="dxa"/>
            <w:shd w:val="clear" w:color="auto" w:fill="D9D9D9"/>
            <w:vAlign w:val="center"/>
          </w:tcPr>
          <w:p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Отметка о выполнении*</w:t>
            </w:r>
          </w:p>
        </w:tc>
      </w:tr>
      <w:tr>
        <w:trPr>
          <w:trHeight w:val="20"/>
        </w:trPr>
        <w:tc>
          <w:tcPr>
            <w:tcW w:w="1413" w:type="dxa"/>
            <w:shd w:val="clear" w:color="auto" w:fill="auto"/>
            <w:vAlign w:val="center"/>
          </w:tcPr>
          <w:p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63" w:type="dxa"/>
            <w:gridSpan w:val="3"/>
            <w:shd w:val="clear" w:color="auto" w:fill="auto"/>
          </w:tcPr>
          <w:p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>
        <w:trPr>
          <w:trHeight w:val="627"/>
        </w:trPr>
        <w:tc>
          <w:tcPr>
            <w:tcW w:w="1413" w:type="dxa"/>
            <w:vMerge w:val="restart"/>
            <w:shd w:val="clear" w:color="auto" w:fill="auto"/>
          </w:tcPr>
          <w:p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29.05.2023-04.06.2023</w:t>
            </w:r>
          </w:p>
        </w:tc>
        <w:tc>
          <w:tcPr>
            <w:tcW w:w="5670" w:type="dxa"/>
            <w:shd w:val="clear" w:color="auto" w:fill="auto"/>
          </w:tcPr>
          <w:p>
            <w:pPr>
              <w:tabs>
                <w:tab w:val="left" w:pos="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Оформление документов на практику, ознакомление с требованиями по прохождению практики и правилами оформления документов по практике. Составление индивидуального задания прохождения практики руководителем практики от Университета.</w:t>
            </w:r>
          </w:p>
        </w:tc>
        <w:tc>
          <w:tcPr>
            <w:tcW w:w="1559" w:type="dxa"/>
            <w:vAlign w:val="center"/>
          </w:tcPr>
          <w:p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ОПК-4,</w:t>
            </w:r>
          </w:p>
          <w:p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УК-4, </w:t>
            </w:r>
          </w:p>
          <w:p>
            <w:pPr>
              <w:pStyle w:val="afb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УК-2, </w:t>
            </w:r>
          </w:p>
          <w:p>
            <w:pPr>
              <w:pStyle w:val="afb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УК-7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>
        <w:trPr>
          <w:trHeight w:val="1046"/>
        </w:trPr>
        <w:tc>
          <w:tcPr>
            <w:tcW w:w="1413" w:type="dxa"/>
            <w:vMerge/>
            <w:shd w:val="clear" w:color="auto" w:fill="auto"/>
          </w:tcPr>
          <w:p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>
            <w:pPr>
              <w:pStyle w:val="afb"/>
              <w:numPr>
                <w:ilvl w:val="0"/>
                <w:numId w:val="45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0" w:firstLine="0"/>
              <w:jc w:val="both"/>
            </w:pPr>
            <w:r>
              <w:rPr>
                <w:color w:val="000000"/>
              </w:rPr>
              <w:t>Ознакомиться с правилами внутреннего трудового распорядка, в том числе с нормативной документацией по мерам противодействия коррупционному поведению.</w:t>
            </w:r>
          </w:p>
          <w:p>
            <w:pPr>
              <w:pStyle w:val="afb"/>
              <w:numPr>
                <w:ilvl w:val="0"/>
                <w:numId w:val="45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0" w:firstLine="0"/>
              <w:jc w:val="both"/>
            </w:pPr>
            <w:r>
              <w:rPr>
                <w:color w:val="000000"/>
              </w:rPr>
              <w:t>Пройти инструктаж по технике безопасности и правилах поведения при возникновении чрезвычайных и нештатных ситуаций</w:t>
            </w:r>
          </w:p>
          <w:p>
            <w:pPr>
              <w:pStyle w:val="afb"/>
              <w:numPr>
                <w:ilvl w:val="0"/>
                <w:numId w:val="45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0" w:firstLine="0"/>
              <w:jc w:val="both"/>
            </w:pPr>
            <w:r>
              <w:rPr>
                <w:color w:val="000000"/>
              </w:rPr>
              <w:t>Организовать рабочее место</w:t>
            </w:r>
          </w:p>
          <w:p>
            <w:pPr>
              <w:pStyle w:val="afb"/>
              <w:numPr>
                <w:ilvl w:val="0"/>
                <w:numId w:val="45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0" w:firstLine="0"/>
              <w:jc w:val="both"/>
            </w:pPr>
            <w:r>
              <w:rPr>
                <w:color w:val="000000"/>
              </w:rPr>
              <w:t>Выбрать платформу и необходимые библиотеки для разработки алгоритмов, анализа данных и визуализации. Установить дополнительные библиотеки. Разработать необходимые процедуры и функции.</w:t>
            </w:r>
          </w:p>
          <w:p>
            <w:pPr>
              <w:pStyle w:val="afb"/>
              <w:numPr>
                <w:ilvl w:val="0"/>
                <w:numId w:val="45"/>
              </w:numPr>
              <w:tabs>
                <w:tab w:val="clear" w:pos="720"/>
                <w:tab w:val="left" w:pos="463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0" w:firstLine="0"/>
              <w:jc w:val="both"/>
            </w:pPr>
            <w:r>
              <w:rPr>
                <w:color w:val="000000"/>
              </w:rPr>
              <w:t xml:space="preserve">Получить/сгенерировать </w:t>
            </w:r>
            <w:proofErr w:type="spellStart"/>
            <w:r>
              <w:rPr>
                <w:color w:val="000000"/>
              </w:rPr>
              <w:t>Dataset</w:t>
            </w:r>
            <w:proofErr w:type="spellEnd"/>
            <w:r>
              <w:rPr>
                <w:color w:val="000000"/>
              </w:rPr>
              <w:t>/массив (данные) в формате *.</w:t>
            </w:r>
            <w:proofErr w:type="spellStart"/>
            <w:r>
              <w:rPr>
                <w:color w:val="000000"/>
              </w:rPr>
              <w:t>txt</w:t>
            </w:r>
            <w:proofErr w:type="spellEnd"/>
            <w:r>
              <w:rPr>
                <w:color w:val="000000"/>
              </w:rPr>
              <w:t xml:space="preserve"> и/или *.</w:t>
            </w:r>
            <w:proofErr w:type="spellStart"/>
            <w:r>
              <w:rPr>
                <w:color w:val="000000"/>
              </w:rPr>
              <w:t>csv</w:t>
            </w:r>
            <w:proofErr w:type="spellEnd"/>
            <w:r>
              <w:rPr>
                <w:color w:val="000000"/>
              </w:rPr>
              <w:t xml:space="preserve"> и/или *.</w:t>
            </w:r>
            <w:proofErr w:type="spellStart"/>
            <w:r>
              <w:rPr>
                <w:color w:val="000000"/>
              </w:rPr>
              <w:t>jpg</w:t>
            </w:r>
            <w:proofErr w:type="spellEnd"/>
            <w:r>
              <w:rPr>
                <w:color w:val="000000"/>
              </w:rPr>
              <w:t>.</w:t>
            </w:r>
          </w:p>
          <w:p>
            <w:pPr>
              <w:pStyle w:val="afb"/>
              <w:numPr>
                <w:ilvl w:val="0"/>
                <w:numId w:val="45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0" w:firstLine="0"/>
              <w:jc w:val="both"/>
            </w:pPr>
            <w:r>
              <w:rPr>
                <w:color w:val="000000"/>
              </w:rPr>
              <w:t xml:space="preserve">Сформировать объект </w:t>
            </w:r>
            <w:proofErr w:type="spellStart"/>
            <w:r>
              <w:rPr>
                <w:color w:val="000000"/>
              </w:rPr>
              <w:t>DataFrame</w:t>
            </w:r>
            <w:proofErr w:type="spellEnd"/>
            <w:r>
              <w:rPr>
                <w:color w:val="000000"/>
              </w:rPr>
              <w:t>/массив и получить о нём сводную информацию.</w:t>
            </w:r>
          </w:p>
          <w:p>
            <w:pPr>
              <w:pStyle w:val="afb"/>
              <w:numPr>
                <w:ilvl w:val="0"/>
                <w:numId w:val="45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0" w:firstLine="0"/>
              <w:jc w:val="both"/>
            </w:pPr>
            <w:r>
              <w:rPr>
                <w:color w:val="000000"/>
              </w:rPr>
              <w:t>Выполнить очистку данных от «цифрового мусора».</w:t>
            </w:r>
          </w:p>
          <w:p>
            <w:pPr>
              <w:pStyle w:val="afb"/>
              <w:numPr>
                <w:ilvl w:val="0"/>
                <w:numId w:val="45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0" w:firstLine="0"/>
              <w:jc w:val="both"/>
            </w:pPr>
            <w:r>
              <w:rPr>
                <w:color w:val="000000"/>
              </w:rPr>
              <w:t>Выполнить расчет и вывод в консоль (и текстовый файл) стандартных статистических характеристик по цифровым данным.</w:t>
            </w:r>
          </w:p>
          <w:p>
            <w:pPr>
              <w:pStyle w:val="afb"/>
              <w:numPr>
                <w:ilvl w:val="0"/>
                <w:numId w:val="45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0" w:firstLine="0"/>
              <w:jc w:val="both"/>
            </w:pPr>
            <w:r>
              <w:rPr>
                <w:color w:val="000000"/>
              </w:rPr>
              <w:t>Выполнить разделение данных по указанным признакам.</w:t>
            </w:r>
          </w:p>
        </w:tc>
        <w:tc>
          <w:tcPr>
            <w:tcW w:w="1559" w:type="dxa"/>
            <w:vAlign w:val="center"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ОПК-1, ОПК-2, ОПК-3, ОПК-5, ОПК-6, УК-1,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УК-2,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УК-3,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УК-4,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УК-5,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УК-6,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УК-7,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УК-8,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УК-9,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УК-11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05.06.2023-11.06.2023</w:t>
            </w:r>
          </w:p>
        </w:tc>
        <w:tc>
          <w:tcPr>
            <w:tcW w:w="5670" w:type="dxa"/>
            <w:shd w:val="clear" w:color="auto" w:fill="auto"/>
          </w:tcPr>
          <w:p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Рассчитать суммарные данные по выбранным диапазонам по заданным критериям.</w:t>
            </w:r>
          </w:p>
          <w:p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Визуализировать данные с помощью стандартных библиотек.</w:t>
            </w:r>
          </w:p>
          <w:p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Визуализировать данные, полученные в результате промежуточного анализа (вычислений).</w:t>
            </w:r>
          </w:p>
          <w:p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Визуализировать данные, полученные в результате объединения, для выявления зависимостей между ними.</w:t>
            </w:r>
          </w:p>
        </w:tc>
        <w:tc>
          <w:tcPr>
            <w:tcW w:w="1559" w:type="dxa"/>
            <w:vAlign w:val="center"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ОПК-1, ОПК-2, ОПК-3, ОПК-4, ОПК-5, ОПК-6, УК-1,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УК-3,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УК-4,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УК-5,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УК-6,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УК-7,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УК-8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УК-10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lastRenderedPageBreak/>
              <w:t>Защита итогов практики, отраженных в отчете – в соответствии с расписанием</w:t>
            </w:r>
          </w:p>
        </w:tc>
        <w:tc>
          <w:tcPr>
            <w:tcW w:w="5670" w:type="dxa"/>
            <w:shd w:val="clear" w:color="auto" w:fill="auto"/>
          </w:tcPr>
          <w:p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Процедура защиты</w:t>
            </w:r>
          </w:p>
          <w:p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jc w:val="both"/>
              <w:textAlignment w:val="auto"/>
              <w:rPr>
                <w:i/>
                <w:sz w:val="24"/>
                <w:szCs w:val="24"/>
              </w:rPr>
            </w:pPr>
            <w:r>
              <w:rPr>
                <w:i/>
                <w:szCs w:val="24"/>
              </w:rPr>
              <w:t>(для студентов, обучающихся с использованием дистанционных технологий – в ЭИОС «Электронный университет»)</w:t>
            </w:r>
          </w:p>
        </w:tc>
        <w:tc>
          <w:tcPr>
            <w:tcW w:w="1559" w:type="dxa"/>
            <w:vAlign w:val="center"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УК-1,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УК-2,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УК-3,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УК-4,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УК-5,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УК-6,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УК-7, 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УК-8,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УК-9,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УК-10,</w:t>
            </w:r>
          </w:p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УК-11, ОПК-1, ОПК-2, ОПК-3, ОПК-4, ОПК-5, ОПК-6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</w:tr>
    </w:tbl>
    <w:p>
      <w:pPr>
        <w:tabs>
          <w:tab w:val="left" w:pos="993"/>
          <w:tab w:val="left" w:pos="1134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Цель: </w:t>
      </w:r>
      <w:r>
        <w:rPr>
          <w:color w:val="000000"/>
          <w:sz w:val="24"/>
          <w:szCs w:val="24"/>
        </w:rPr>
        <w:t>приобретение студентами первичных профессиональных навыков, практического опыта, закрепление, систематизация и расширение теоретических знаний по дисциплинам учебного плана.</w:t>
      </w:r>
    </w:p>
    <w:p>
      <w:pPr>
        <w:widowControl w:val="0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Задачи:</w:t>
      </w:r>
    </w:p>
    <w:p>
      <w:pPr>
        <w:numPr>
          <w:ilvl w:val="0"/>
          <w:numId w:val="44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Закрепление приобретенных теоретических знаний.</w:t>
      </w:r>
    </w:p>
    <w:p>
      <w:pPr>
        <w:numPr>
          <w:ilvl w:val="0"/>
          <w:numId w:val="44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Приобретение навыков научного поиска и практической работы с информационными источниками данных.</w:t>
      </w:r>
    </w:p>
    <w:p>
      <w:pPr>
        <w:numPr>
          <w:ilvl w:val="0"/>
          <w:numId w:val="44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Овладение практическими методиками формирования цели и задач для работы над групповым проектом, управления познавательной деятельностью.</w:t>
      </w:r>
    </w:p>
    <w:p>
      <w:pPr>
        <w:numPr>
          <w:ilvl w:val="0"/>
          <w:numId w:val="44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Приобретение практических навыков участия в командной работе, в групповых проектах, распределения ролей в условиях командного взаимодействия</w:t>
      </w:r>
    </w:p>
    <w:p>
      <w:pPr>
        <w:numPr>
          <w:ilvl w:val="0"/>
          <w:numId w:val="44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Приобретение практических навыков использования иностранного языка при анализе зарубежных информационных Интернет источников.</w:t>
      </w:r>
    </w:p>
    <w:p>
      <w:pPr>
        <w:numPr>
          <w:ilvl w:val="0"/>
          <w:numId w:val="44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Приобретение навыков использования современных информационных технологий и программных средств для решения задач анализа данных.</w:t>
      </w:r>
    </w:p>
    <w:p>
      <w:pPr>
        <w:numPr>
          <w:ilvl w:val="0"/>
          <w:numId w:val="44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Приобретение навыков инсталлирования программного обеспечения.</w:t>
      </w:r>
    </w:p>
    <w:p>
      <w:pPr>
        <w:numPr>
          <w:ilvl w:val="0"/>
          <w:numId w:val="44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Формирование практических навыков по основам алгоритмизации вычислительных процессов и программированию решения задач обработки данных их отладке и тестирования на выбранной языковой платформе.</w:t>
      </w:r>
    </w:p>
    <w:p>
      <w:pPr>
        <w:numPr>
          <w:ilvl w:val="0"/>
          <w:numId w:val="44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Получение навыков экспериментального исследования больших данных и практического решения информационных задач по обработке данных.</w:t>
      </w:r>
    </w:p>
    <w:p>
      <w:pPr>
        <w:numPr>
          <w:ilvl w:val="0"/>
          <w:numId w:val="44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Получения навыков проведения инженерных расчетов.</w:t>
      </w:r>
    </w:p>
    <w:p>
      <w:pPr>
        <w:numPr>
          <w:ilvl w:val="0"/>
          <w:numId w:val="44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Получение навыков самостоятельной работы.</w:t>
      </w:r>
    </w:p>
    <w:p>
      <w:pPr>
        <w:numPr>
          <w:ilvl w:val="0"/>
          <w:numId w:val="44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Получение навыков подготовки отчетной документации</w:t>
      </w:r>
    </w:p>
    <w:p>
      <w:pPr>
        <w:tabs>
          <w:tab w:val="left" w:pos="426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 </w:t>
      </w:r>
    </w:p>
    <w:p>
      <w:pPr>
        <w:widowControl w:val="0"/>
        <w:tabs>
          <w:tab w:val="left" w:pos="1447"/>
          <w:tab w:val="left" w:pos="3143"/>
          <w:tab w:val="left" w:pos="4446"/>
          <w:tab w:val="left" w:pos="5642"/>
          <w:tab w:val="left" w:pos="7339"/>
          <w:tab w:val="left" w:pos="9357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Планируемые результаты и индикаторы их достижения при прохождении практики, соотнесенные с планируемыми результатами освоениями программы </w:t>
      </w:r>
      <w:proofErr w:type="spellStart"/>
      <w:r>
        <w:rPr>
          <w:color w:val="000000"/>
          <w:sz w:val="24"/>
          <w:szCs w:val="24"/>
        </w:rPr>
        <w:t>бакалавриата</w:t>
      </w:r>
      <w:proofErr w:type="spellEnd"/>
    </w:p>
    <w:tbl>
      <w:tblPr>
        <w:tblStyle w:val="10"/>
        <w:tblW w:w="9762" w:type="dxa"/>
        <w:tblLook w:val="04A0" w:firstRow="1" w:lastRow="0" w:firstColumn="1" w:lastColumn="0" w:noHBand="0" w:noVBand="1"/>
      </w:tblPr>
      <w:tblGrid>
        <w:gridCol w:w="2268"/>
        <w:gridCol w:w="3256"/>
        <w:gridCol w:w="4238"/>
      </w:tblGrid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Наименование категории (группы) компетенций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и наименование компетенции выпускника программы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бакалавриата</w:t>
            </w:r>
            <w:proofErr w:type="spellEnd"/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общепрофессиональные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ОПК-1. Способен проводить моделирование, анализ и совершенствование бизнес-процессов и информационно-технологической инфраструктуры предприятия в интересах достижения его стратегических целей с использованием современных методов и программного инструментария;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ОПК-1.1.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Знать методы анализа бизнес-процессов предприятия 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ОПК-1.2.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Уметь использовать программный инструментарий для моделирования бизнес-процессов 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ОПК-1.3.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Владеть навыками анализа и модернизации информационно-технологической инфраструктуры предприятия.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общепрофессиональные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ОПК-2. Способен проводить исследование и анализ рынка информационных систем и информационно-коммуникационных технологий, выбирать рациональные решения для управления бизнесом;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ОПК-2.1.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Знать методы исследования качества, сложности и надежности информационных систем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ОПК-2.2.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Уметь проводить оценку эффективности внедрения информационных систем и информационно-коммуникационных технологий управления бизнесом.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ОПК-2.3.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Владеть навыками анализа рынка информационных систем и информационно-коммуникативных технологий. 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общепрофессиональные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ОПК-3. Способен управлять процессами создания и использования продуктов и услуг в сфере информационно-коммуникационных технологий, в том числе разрабатывать алгоритмы и программы для их практической реализации;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ОПК-3.1.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Знать методы проектирования и развертывания программных продуктов и услуг, обеспечивающих поддержку бизнес-процессов предприятия.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ОПК-3.2.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Уметь использовать современные технологические платформы и средства разработки для создания программных продуктов и услуг в сфере информационно-коммуникационных технологий.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ОПК-3.3.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Владеть методами проектирования и развертывания продуктов и услуг в сфере информационно-коммуникационных технологий.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общепрофессиональные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ОПК-4. Способен понимать принципы работы информационных технологий; использовать информацию, методы и программные средства ее сбора, обработки и анализа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для информационно-аналитической поддержки принятия управленческих решений</w:t>
            </w:r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ОПК-4.1.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Знать основы моделирования задач поддержки принятия управленческих решений, решаемых аналитическими методами.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ОПК-4.2.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Уметь использовать соответствующий математический аппарат для обработки, анализа и систематизации информации.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ОПК-4.3.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Владеть навыками использования инструментальных средств для обработки, анализа и систематизации информации для поддержки принятия управленческих решений.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общепрофессиональные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ОПК-5. Способен организовывать взаимодействие с клиентами и партнерами в процессе решения задач управления жизненным циклом информационных систем и информационно-коммуникационных технологий;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ОПК-5.1.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Знать современные стандарты и методики управления процессами жизненного цикла информационных систем и информационно-коммуникационных технологий 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ОПК-5.2.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Уметь обрабатывать запросы клиентов и партнеров в процессе решения задач управления жизненным циклом информационных систем 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ОПК-5.3.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Владеть методиками коммуникации с клиентами и партнерами в процессе решения задач управления жизненным циклом информационных систем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общепрофессиональные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ОПК-6. Способен выполнять отдельные задачи в рамках коллективной научно-исследовательской, проектной и учебно-профессиональной деятельности для поиска, выработки и применения новых решений в области информационно-коммуникационных технологий.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ОПК-6.1.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Знать основные методы естественнонаучных дисциплин при решении задач научно-исследовательской, проектной и учебно-профессиональной деятельности 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ОПК-6.2.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Уметь использовать методы и инструментальные средства естественнонаучных дисциплин в профессиональной деятельности 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ОПК-6.3.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Владеть навыками использования методов естественнонаучных дисциплин для теоретического и экспериментального исследования в области информационно-коммуникационных технологий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Системное и критическое мышление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УК-1.1.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Знает принципы сбора, отбора и обобщения информации, методики системного подхода для решения профессиональных задач.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УК-1.2.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Умеет анализировать и систематизировать разнородные данные, оценивать эффективность процедур анализа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проблем и принятия решений в профессиональной деятельности.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УК-1.3.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Владеет навыками научного поиска и практической работы с информационными источниками; методами принятия решений.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Разработка и реализация проектов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4238" w:type="dxa"/>
            <w:hideMark/>
          </w:tcPr>
          <w:p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УК-2.1.</w:t>
            </w:r>
          </w:p>
          <w:p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Знает необходимые для осуществления профессиональной деятельности правовые нормы и методологические основы принятия управленческого решения.</w:t>
            </w:r>
          </w:p>
          <w:p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УК-2.2.</w:t>
            </w:r>
          </w:p>
          <w:p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Умеет анализировать альтернативные варианты решений для достижения намеченных результатов; разрабатывать план, определять целевые этапы и основные направления работ.</w:t>
            </w:r>
          </w:p>
          <w:p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УК-2.3.</w:t>
            </w:r>
          </w:p>
          <w:p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Владеет методиками разработки цели и задач проекта; методами оценки продолжительности и стоимости проекта, а также потребности в ресурсах.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Командная работа и лидерство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УК-3. Способен осуществлять социальное взаимодействие и реализовывать свою роль в команде</w:t>
            </w:r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УК-3.1.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Знает типологию и факторы формирования команд, способы социального взаимодействия.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УК-3.2.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Умеет действовать в духе сотрудничества; принимать решения с соблюдением этических принципов их реализации; проявлять уважение к мнению и культуре других; определять цели и работать в направлении личностного, образовательного и профессионального роста.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УК-3.3.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Владеет навыками распределения ролей в условиях командного взаимодействия; методами оценки своих действий, планирования и управления временем.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Коммуникация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УК-4.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 языке(ах)</w:t>
            </w:r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УК-4.1.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Знает принципы построения устного и письменного высказывания на государственном и иностранном языках; требования к деловой устной и письменной коммуникации.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УК-4.2.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Умеет вести академическую и профессиональную дискуссии на государственном языке Российской Федерации и иностранном(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 языке(ах).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УК-4.3.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Владеет методикой составления суждения в межличностном деловом общении на государственном и иностранном языках.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Межкультурное взаимодействие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УК-5.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УК-5.1.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Знает основные категории философии, законы исторического развития, основы межкультурной коммуникации.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УК-5.2.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Умеет вести коммуникацию в мире культурного многообразия и 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демонстрировать взаимопонимание между обучающимися – представителями различных культур с соблюдением этических и межкультурных норм.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УК-5.3.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Владеет практическими навыками анализа философских и исторических фактов, оценки явлений культуры; способами анализа и пересмотра своих взглядов в случае разногласий и конфликтов в межкультурной коммуникации.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Самоорганизация и саморазвитие (в том числе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здоровьесбережение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УК-6.1.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Знает основные принципы самовоспитания и самообразования, исходя из требований рынка труда.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УК-6.2.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Умеет демонстрировать умение самоконтроля и рефлексии, позволяющие самостоятельно корректировать обучение по выбранной траектории.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УК-6.3.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Владеет способами управления своей познавательной деятельностью и удовлетворения образовательных интересов и потребностей.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Самоорганизация и саморазвитие (в том числе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здоровьесбережение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УК-7.1.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Знает виды физических упражнений; научно-практические основы физической культуры и здорового образа и стиля жизни.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УК-7.2.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Умеет применять на практике разнообразные средства физической культуры, спорта и туризма для сохране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ния и укрепления здоровья, психофизической подготовки и самоподготовки к будущей жизни и профессиональной деятельности; использовать творчески средства и методы физического воспитания для профессионально-личностного развития, физического самосовершенствования, формирования здорового образа и стиля жизни.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УК-7.3.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Владеет средствами и методами укрепления индивидуального здоровья, физического самосовершенствования.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Безопасность жизнедеятельности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развития, в том числе при угрозе и возникновении чрезвычайных ситуаций и военных конфликтов</w:t>
            </w:r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УК-8.1.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Знает теоретические основы жизнедеятельности в системе «человек – среда обитания», методы защиты в условиях чрезвычайных ситуаций, военных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конфликтов;  методы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сохранения природной среды, факторы обеспечения устойчивого развития общества.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УК-8.2.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Умеет идентифицировать опасные и вредные факторы в рамках осуществляемой деятельности; оценивать возможные риски появления опасностей и чрезвычайных ситуаций; создавать и поддерживать безопасные условия жизнедеятельности в повседневной жизни и в профессиональной деятельности.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УК-8.3.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Владеет методами прогнозирования возникновения опасных или чрезвычайных ситуаций; навыками по применению основных методов защиты в условиях чрезвычайных ситуаций в повседневной жизни и профессиональной деятельности.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Инклюзивное взаимодействие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УК-9. Способен использовать базовые дефектологические знания в социальной и профессиональной сферах</w:t>
            </w:r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УК-9.1 Знает понятия инклюзивного взаимодействия при коммуникации в различных сферах жизнедеятельности, с учетом социально-психологических особенностей лиц, имеющими ограниченные возможности здоровья или инвалидность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УК-9.2. Умеет вести профессиональную деятельность с лицами имеющими ограниченные возможности здоровья или инвалидность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УК-9.3 Владеет навыками взаимодействия с лицами имеющими ограниченные возможности здоровья или инвалидность в социальной и профессиональной сферах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Экономическая культура, в том числе финансовая грамотность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УК-10. 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УК-10.1 Знает основные документы, регламентирующие экономическую деятельность; источники финансирования профессиональной деятельности; принципы планирования экономической деятельности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УК-10.2 Умеет обосновывать принятие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экономических  решений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использовать методы экономического планирования для достижения поставленных целей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УК-10.3 Владеет навыками применения экономических инструментов</w:t>
            </w:r>
          </w:p>
        </w:tc>
      </w:tr>
      <w:tr>
        <w:trPr>
          <w:trHeight w:val="70"/>
        </w:trPr>
        <w:tc>
          <w:tcPr>
            <w:tcW w:w="226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позиция</w:t>
            </w:r>
          </w:p>
        </w:tc>
        <w:tc>
          <w:tcPr>
            <w:tcW w:w="3256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УК-11. Способен формировать нетерпимое отношение к коррупционному поведению</w:t>
            </w:r>
          </w:p>
        </w:tc>
        <w:tc>
          <w:tcPr>
            <w:tcW w:w="4238" w:type="dxa"/>
            <w:hideMark/>
          </w:tcPr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УК-11.1 Знает действующие правовые нормы, обеспечивающие борьбу с коррупцией в различных областях жизнедеятельности; способы профилактики коррупции и формирования нетерпимого отношения к ней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УК-11.2 Умеет планировать, организовывать и проводить мероприятия, обеспечивающие формирование гражданской позиции и предотвращение коррупции в обществе</w:t>
            </w:r>
          </w:p>
          <w:p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УК-11.3 Владеет навыками взаимодействия в обществе на основе нетерпимого отношения к коррупции</w:t>
            </w:r>
          </w:p>
        </w:tc>
      </w:tr>
    </w:tbl>
    <w:p>
      <w:pPr>
        <w:widowControl w:val="0"/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 </w:t>
      </w:r>
    </w:p>
    <w:p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>
      <w:pPr>
        <w:pStyle w:val="docdata"/>
        <w:tabs>
          <w:tab w:val="left" w:pos="426"/>
        </w:tabs>
        <w:spacing w:before="0" w:beforeAutospacing="0" w:after="0" w:afterAutospacing="0"/>
        <w:jc w:val="both"/>
      </w:pPr>
      <w:r>
        <w:rPr>
          <w:i/>
          <w:iCs/>
          <w:color w:val="000000"/>
          <w:sz w:val="20"/>
          <w:szCs w:val="20"/>
        </w:rPr>
        <w:t xml:space="preserve">Прим.: </w:t>
      </w:r>
      <w:r>
        <w:rPr>
          <w:b/>
          <w:i/>
          <w:iCs/>
          <w:color w:val="000000"/>
          <w:sz w:val="20"/>
          <w:szCs w:val="20"/>
        </w:rPr>
        <w:t>При прохождении практики на базе профильной организации</w:t>
      </w:r>
      <w:r>
        <w:rPr>
          <w:i/>
          <w:iCs/>
          <w:color w:val="000000"/>
          <w:sz w:val="20"/>
          <w:szCs w:val="20"/>
        </w:rPr>
        <w:t xml:space="preserve"> перечень представленных заданий может быть изменен или дополнен в соответствие с профилем организации и фактическими служебными поручениями. Индивидуальное задание составляется руководителем практики от университета и согласовывается с руководителем практики от организации.</w:t>
      </w:r>
    </w:p>
    <w:p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sectPr>
      <w:headerReference w:type="even" r:id="rId10"/>
      <w:headerReference w:type="default" r:id="rId11"/>
      <w:pgSz w:w="11906" w:h="16838"/>
      <w:pgMar w:top="964" w:right="707" w:bottom="964" w:left="15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a3"/>
    </w:pPr>
  </w:p>
  <w:p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01F533CB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2E66F01"/>
    <w:multiLevelType w:val="multilevel"/>
    <w:tmpl w:val="A14ED1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03614837"/>
    <w:multiLevelType w:val="multilevel"/>
    <w:tmpl w:val="29C4CF5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720"/>
      </w:pPr>
      <w:rPr>
        <w:rFonts w:ascii="Times New Roman" w:eastAsia="Times New Roman" w:hAnsi="Times New Roman" w:cs="Times New Roman"/>
        <w: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462525B"/>
    <w:multiLevelType w:val="hybridMultilevel"/>
    <w:tmpl w:val="DBBEA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A18A9"/>
    <w:multiLevelType w:val="multilevel"/>
    <w:tmpl w:val="943406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 w15:restartNumberingAfterBreak="0">
    <w:nsid w:val="0A854779"/>
    <w:multiLevelType w:val="hybridMultilevel"/>
    <w:tmpl w:val="52C8188E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E6680"/>
    <w:multiLevelType w:val="multilevel"/>
    <w:tmpl w:val="F6C2F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523240"/>
    <w:multiLevelType w:val="hybridMultilevel"/>
    <w:tmpl w:val="AE2C5632"/>
    <w:lvl w:ilvl="0" w:tplc="041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6EE5C14"/>
    <w:multiLevelType w:val="hybridMultilevel"/>
    <w:tmpl w:val="0C3CAE3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62323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DB5670C"/>
    <w:multiLevelType w:val="multilevel"/>
    <w:tmpl w:val="FDB4734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1E2823FE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0C2EEF"/>
    <w:multiLevelType w:val="hybridMultilevel"/>
    <w:tmpl w:val="7EE6DFF2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4C4077"/>
    <w:multiLevelType w:val="hybridMultilevel"/>
    <w:tmpl w:val="ADF88E32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5" w15:restartNumberingAfterBreak="0">
    <w:nsid w:val="21154949"/>
    <w:multiLevelType w:val="hybridMultilevel"/>
    <w:tmpl w:val="7EEA55B4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C2860"/>
    <w:multiLevelType w:val="hybridMultilevel"/>
    <w:tmpl w:val="3C9817F6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F75252"/>
    <w:multiLevelType w:val="hybridMultilevel"/>
    <w:tmpl w:val="C130DFAE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8157840"/>
    <w:multiLevelType w:val="hybridMultilevel"/>
    <w:tmpl w:val="FA063DB4"/>
    <w:lvl w:ilvl="0" w:tplc="321A92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8D5D87"/>
    <w:multiLevelType w:val="hybridMultilevel"/>
    <w:tmpl w:val="813AEDFA"/>
    <w:lvl w:ilvl="0" w:tplc="16F40E0C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240DFD"/>
    <w:multiLevelType w:val="hybridMultilevel"/>
    <w:tmpl w:val="BB7C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6D7A40"/>
    <w:multiLevelType w:val="multilevel"/>
    <w:tmpl w:val="6A84A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1CF7D36"/>
    <w:multiLevelType w:val="multilevel"/>
    <w:tmpl w:val="339C76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4" w15:restartNumberingAfterBreak="0">
    <w:nsid w:val="31D45FA3"/>
    <w:multiLevelType w:val="hybridMultilevel"/>
    <w:tmpl w:val="6BBEB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231875"/>
    <w:multiLevelType w:val="multilevel"/>
    <w:tmpl w:val="D41AA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371F6B67"/>
    <w:multiLevelType w:val="multilevel"/>
    <w:tmpl w:val="08588EB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7" w15:restartNumberingAfterBreak="0">
    <w:nsid w:val="421F746E"/>
    <w:multiLevelType w:val="hybridMultilevel"/>
    <w:tmpl w:val="C58C3BFA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4BE7A0A"/>
    <w:multiLevelType w:val="multilevel"/>
    <w:tmpl w:val="62D60D2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B54C3D"/>
    <w:multiLevelType w:val="hybridMultilevel"/>
    <w:tmpl w:val="602285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0F06528">
      <w:start w:val="1"/>
      <w:numFmt w:val="decimal"/>
      <w:lvlText w:val="%2)"/>
      <w:lvlJc w:val="left"/>
      <w:pPr>
        <w:ind w:left="2149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C826F07"/>
    <w:multiLevelType w:val="hybridMultilevel"/>
    <w:tmpl w:val="443C070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8690CEB"/>
    <w:multiLevelType w:val="hybridMultilevel"/>
    <w:tmpl w:val="ECE47DB6"/>
    <w:lvl w:ilvl="0" w:tplc="C0EA4EA6">
      <w:start w:val="1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ascii="Times New Roman" w:hAnsi="Times New Roman" w:hint="default"/>
        <w:b w:val="0"/>
        <w:i w:val="0"/>
        <w:strike w:val="0"/>
        <w:color w:val="auto"/>
        <w:sz w:val="26"/>
        <w:szCs w:val="26"/>
      </w:rPr>
    </w:lvl>
    <w:lvl w:ilvl="1" w:tplc="BD9A5EE2">
      <w:start w:val="1"/>
      <w:numFmt w:val="bullet"/>
      <w:lvlText w:val="–"/>
      <w:lvlJc w:val="left"/>
      <w:pPr>
        <w:tabs>
          <w:tab w:val="num" w:pos="1480"/>
        </w:tabs>
        <w:ind w:left="14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32" w15:restartNumberingAfterBreak="0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B7B3661"/>
    <w:multiLevelType w:val="hybridMultilevel"/>
    <w:tmpl w:val="D1FE8CF8"/>
    <w:lvl w:ilvl="0" w:tplc="3000B68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 w15:restartNumberingAfterBreak="0">
    <w:nsid w:val="5BC672F9"/>
    <w:multiLevelType w:val="hybridMultilevel"/>
    <w:tmpl w:val="FBAEE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3471BF"/>
    <w:multiLevelType w:val="hybridMultilevel"/>
    <w:tmpl w:val="188C0C66"/>
    <w:lvl w:ilvl="0" w:tplc="69485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3F7305"/>
    <w:multiLevelType w:val="hybridMultilevel"/>
    <w:tmpl w:val="177C4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216EFB"/>
    <w:multiLevelType w:val="hybridMultilevel"/>
    <w:tmpl w:val="BD02989A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8070FC"/>
    <w:multiLevelType w:val="multilevel"/>
    <w:tmpl w:val="AC98E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68CB0656"/>
    <w:multiLevelType w:val="hybridMultilevel"/>
    <w:tmpl w:val="75D2833E"/>
    <w:lvl w:ilvl="0" w:tplc="65D877D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E1572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 w15:restartNumberingAfterBreak="0">
    <w:nsid w:val="74937EFC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9645A7"/>
    <w:multiLevelType w:val="hybridMultilevel"/>
    <w:tmpl w:val="F77AC622"/>
    <w:lvl w:ilvl="0" w:tplc="8B4ECF2E">
      <w:start w:val="1"/>
      <w:numFmt w:val="decimal"/>
      <w:lvlText w:val="%1."/>
      <w:lvlJc w:val="left"/>
      <w:pPr>
        <w:tabs>
          <w:tab w:val="num" w:pos="-284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ABA14CE"/>
    <w:multiLevelType w:val="singleLevel"/>
    <w:tmpl w:val="04B27DEA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abstractNum w:abstractNumId="44" w15:restartNumberingAfterBreak="0">
    <w:nsid w:val="7E13683E"/>
    <w:multiLevelType w:val="hybridMultilevel"/>
    <w:tmpl w:val="0352B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EEFCE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1"/>
  </w:num>
  <w:num w:numId="3">
    <w:abstractNumId w:val="16"/>
  </w:num>
  <w:num w:numId="4">
    <w:abstractNumId w:val="38"/>
  </w:num>
  <w:num w:numId="5">
    <w:abstractNumId w:val="20"/>
  </w:num>
  <w:num w:numId="6">
    <w:abstractNumId w:val="11"/>
  </w:num>
  <w:num w:numId="7">
    <w:abstractNumId w:val="25"/>
  </w:num>
  <w:num w:numId="8">
    <w:abstractNumId w:val="8"/>
  </w:num>
  <w:num w:numId="9">
    <w:abstractNumId w:val="43"/>
  </w:num>
  <w:num w:numId="10">
    <w:abstractNumId w:val="33"/>
  </w:num>
  <w:num w:numId="11">
    <w:abstractNumId w:val="12"/>
  </w:num>
  <w:num w:numId="12">
    <w:abstractNumId w:val="42"/>
  </w:num>
  <w:num w:numId="13">
    <w:abstractNumId w:val="1"/>
  </w:num>
  <w:num w:numId="14">
    <w:abstractNumId w:val="30"/>
  </w:num>
  <w:num w:numId="15">
    <w:abstractNumId w:val="40"/>
  </w:num>
  <w:num w:numId="16">
    <w:abstractNumId w:val="10"/>
  </w:num>
  <w:num w:numId="17">
    <w:abstractNumId w:val="14"/>
  </w:num>
  <w:num w:numId="18">
    <w:abstractNumId w:val="0"/>
  </w:num>
  <w:num w:numId="19">
    <w:abstractNumId w:val="39"/>
  </w:num>
  <w:num w:numId="20">
    <w:abstractNumId w:val="44"/>
  </w:num>
  <w:num w:numId="21">
    <w:abstractNumId w:val="36"/>
  </w:num>
  <w:num w:numId="22">
    <w:abstractNumId w:val="19"/>
  </w:num>
  <w:num w:numId="23">
    <w:abstractNumId w:val="6"/>
  </w:num>
  <w:num w:numId="24">
    <w:abstractNumId w:val="13"/>
  </w:num>
  <w:num w:numId="25">
    <w:abstractNumId w:val="23"/>
  </w:num>
  <w:num w:numId="26">
    <w:abstractNumId w:val="5"/>
  </w:num>
  <w:num w:numId="27">
    <w:abstractNumId w:val="35"/>
  </w:num>
  <w:num w:numId="28">
    <w:abstractNumId w:val="15"/>
  </w:num>
  <w:num w:numId="29">
    <w:abstractNumId w:val="27"/>
  </w:num>
  <w:num w:numId="30">
    <w:abstractNumId w:val="18"/>
  </w:num>
  <w:num w:numId="31">
    <w:abstractNumId w:val="17"/>
  </w:num>
  <w:num w:numId="32">
    <w:abstractNumId w:val="32"/>
  </w:num>
  <w:num w:numId="33">
    <w:abstractNumId w:val="4"/>
  </w:num>
  <w:num w:numId="34">
    <w:abstractNumId w:val="9"/>
  </w:num>
  <w:num w:numId="35">
    <w:abstractNumId w:val="37"/>
  </w:num>
  <w:num w:numId="36">
    <w:abstractNumId w:val="29"/>
  </w:num>
  <w:num w:numId="37">
    <w:abstractNumId w:val="21"/>
  </w:num>
  <w:num w:numId="38">
    <w:abstractNumId w:val="24"/>
  </w:num>
  <w:num w:numId="39">
    <w:abstractNumId w:val="31"/>
  </w:num>
  <w:num w:numId="40">
    <w:abstractNumId w:val="2"/>
  </w:num>
  <w:num w:numId="41">
    <w:abstractNumId w:val="26"/>
  </w:num>
  <w:num w:numId="42">
    <w:abstractNumId w:val="34"/>
  </w:num>
  <w:num w:numId="43">
    <w:abstractNumId w:val="22"/>
  </w:num>
  <w:num w:numId="44">
    <w:abstractNumId w:val="7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autoHyphenation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0E5770F-3A92-48E2-98B4-01FEAE3C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Pr>
      <w:sz w:val="16"/>
      <w:szCs w:val="16"/>
    </w:rPr>
  </w:style>
  <w:style w:type="paragraph" w:styleId="ad">
    <w:name w:val="annotation text"/>
    <w:basedOn w:val="a"/>
    <w:link w:val="ae"/>
  </w:style>
  <w:style w:type="character" w:customStyle="1" w:styleId="ae">
    <w:name w:val="Текст примечания Знак"/>
    <w:basedOn w:val="a0"/>
    <w:link w:val="ad"/>
  </w:style>
  <w:style w:type="paragraph" w:styleId="af">
    <w:name w:val="annotation subject"/>
    <w:basedOn w:val="ad"/>
    <w:next w:val="ad"/>
    <w:link w:val="af0"/>
    <w:rPr>
      <w:b/>
      <w:bCs/>
    </w:rPr>
  </w:style>
  <w:style w:type="character" w:customStyle="1" w:styleId="af0">
    <w:name w:val="Тема примечания Знак"/>
    <w:link w:val="af"/>
    <w:rPr>
      <w:b/>
      <w:bCs/>
    </w:rPr>
  </w:style>
  <w:style w:type="paragraph" w:styleId="af1">
    <w:name w:val="Balloon Text"/>
    <w:basedOn w:val="a"/>
    <w:link w:val="af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Pr>
      <w:b/>
      <w:sz w:val="32"/>
    </w:rPr>
  </w:style>
  <w:style w:type="character" w:customStyle="1" w:styleId="20">
    <w:name w:val="Заголовок 2 Знак"/>
    <w:link w:val="2"/>
    <w:rPr>
      <w:sz w:val="28"/>
    </w:rPr>
  </w:style>
  <w:style w:type="paragraph" w:styleId="af3">
    <w:name w:val="footnote text"/>
    <w:basedOn w:val="a"/>
    <w:link w:val="af4"/>
    <w:uiPriority w:val="99"/>
    <w:unhideWhenUsed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uiPriority w:val="34"/>
    <w:qFormat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Pr>
      <w:sz w:val="24"/>
    </w:rPr>
  </w:style>
  <w:style w:type="character" w:styleId="af7">
    <w:name w:val="Hyperlink"/>
    <w:basedOn w:val="a0"/>
    <w:uiPriority w:val="99"/>
    <w:unhideWhenUsed/>
    <w:rPr>
      <w:color w:val="0000FF"/>
      <w:u w:val="single"/>
    </w:rPr>
  </w:style>
  <w:style w:type="paragraph" w:styleId="af8">
    <w:name w:val="endnote text"/>
    <w:basedOn w:val="a"/>
    <w:link w:val="af9"/>
    <w:semiHidden/>
    <w:unhideWhenUsed/>
  </w:style>
  <w:style w:type="character" w:customStyle="1" w:styleId="af9">
    <w:name w:val="Текст концевой сноски Знак"/>
    <w:basedOn w:val="a0"/>
    <w:link w:val="af8"/>
    <w:semiHidden/>
  </w:style>
  <w:style w:type="character" w:styleId="afa">
    <w:name w:val="endnote reference"/>
    <w:basedOn w:val="a0"/>
    <w:semiHidden/>
    <w:unhideWhenUsed/>
    <w:rPr>
      <w:vertAlign w:val="superscript"/>
    </w:rPr>
  </w:style>
  <w:style w:type="paragraph" w:styleId="HTML">
    <w:name w:val="HTML Preformatted"/>
    <w:basedOn w:val="a"/>
    <w:link w:val="HTML0"/>
    <w:semiHidden/>
    <w:unhideWhenUsed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semiHidden/>
    <w:rPr>
      <w:rFonts w:ascii="Consolas" w:hAnsi="Consolas"/>
    </w:rPr>
  </w:style>
  <w:style w:type="paragraph" w:customStyle="1" w:styleId="docdata">
    <w:name w:val="docdata"/>
    <w:aliases w:val="docy,v5,1874,bqiaagaaeyqcaaagiaiaaapvbgaabf0gaaaaaaaaaaaaaaaaaaaaaaaaaaaaaaaaaaaaaaaaaaaaaaaaaaaaaaaaaaaaaaaaaaaaaaaaaaaaaaaaaaaaaaaaaaaaaaaaaaaaaaaaaaaaaaaaaaaaaaaaaaaaaaaaaaaaaaaaaaaaaaaaaaaaaaaaaaaaaaaaaaaaaaaaaaaaaaaaaaaaaaaaaaaaaaaaaaaaaaaa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b">
    <w:name w:val="Normal (Web)"/>
    <w:basedOn w:val="a"/>
    <w:uiPriority w:val="99"/>
    <w:unhideWhenUsed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327DE-23DA-4F91-813A-3BAC6A1E6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10</Pages>
  <Words>2470</Words>
  <Characters>14085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/>
  <LinksUpToDate>false</LinksUpToDate>
  <CharactersWithSpaces>16522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Зайцев Сергей Александрович</cp:lastModifiedBy>
  <cp:revision>36</cp:revision>
  <cp:lastPrinted>2020-02-20T06:50:00Z</cp:lastPrinted>
  <dcterms:created xsi:type="dcterms:W3CDTF">2021-01-19T12:25:00Z</dcterms:created>
  <dcterms:modified xsi:type="dcterms:W3CDTF">2023-05-27T07:02:00Z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