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4845" w14:textId="747BCA3F" w:rsidR="00C179D5" w:rsidRPr="00C179D5" w:rsidRDefault="00C179D5" w:rsidP="00C179D5">
      <w:pPr>
        <w:spacing w:line="360" w:lineRule="auto"/>
        <w:rPr>
          <w:i/>
          <w:snapToGrid w:val="0"/>
          <w:sz w:val="24"/>
        </w:rPr>
      </w:pPr>
    </w:p>
    <w:p w14:paraId="0FF4EBF7" w14:textId="70A17F9B" w:rsidR="00CB54B8" w:rsidRPr="00FD4774" w:rsidRDefault="00CB54B8" w:rsidP="00FD4774">
      <w:pPr>
        <w:pStyle w:val="11"/>
        <w:spacing w:line="360" w:lineRule="auto"/>
        <w:ind w:left="0"/>
        <w:rPr>
          <w:b/>
          <w:sz w:val="28"/>
          <w:szCs w:val="28"/>
        </w:rPr>
      </w:pPr>
      <w:r w:rsidRPr="003D6188">
        <w:rPr>
          <w:b/>
          <w:color w:val="000000"/>
          <w:sz w:val="28"/>
          <w:szCs w:val="28"/>
        </w:rPr>
        <w:t>СОДЕРЖАНИЕ</w:t>
      </w:r>
    </w:p>
    <w:p w14:paraId="4C14C822" w14:textId="33602608" w:rsidR="005173D4" w:rsidRPr="005173D4" w:rsidRDefault="005173D4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r w:rsidRPr="005173D4">
        <w:rPr>
          <w:bCs/>
          <w:i/>
          <w:color w:val="000000"/>
          <w:sz w:val="28"/>
          <w:szCs w:val="28"/>
        </w:rPr>
        <w:fldChar w:fldCharType="begin"/>
      </w:r>
      <w:r w:rsidRPr="005173D4">
        <w:rPr>
          <w:bCs/>
          <w:i/>
          <w:color w:val="000000"/>
          <w:sz w:val="28"/>
          <w:szCs w:val="28"/>
        </w:rPr>
        <w:instrText xml:space="preserve"> TOC \o "1-3" \h \z \u </w:instrText>
      </w:r>
      <w:r w:rsidRPr="005173D4">
        <w:rPr>
          <w:bCs/>
          <w:i/>
          <w:color w:val="000000"/>
          <w:sz w:val="28"/>
          <w:szCs w:val="28"/>
        </w:rPr>
        <w:fldChar w:fldCharType="separate"/>
      </w:r>
      <w:hyperlink w:anchor="_Toc214030261" w:history="1">
        <w:r w:rsidRPr="005173D4">
          <w:rPr>
            <w:rStyle w:val="af"/>
            <w:bCs/>
            <w:noProof/>
            <w:snapToGrid w:val="0"/>
            <w:sz w:val="28"/>
            <w:szCs w:val="28"/>
          </w:rPr>
          <w:t>ВВЕДЕНИЕ</w:t>
        </w:r>
        <w:r w:rsidRPr="005173D4">
          <w:rPr>
            <w:bCs/>
            <w:noProof/>
            <w:webHidden/>
            <w:sz w:val="28"/>
            <w:szCs w:val="28"/>
          </w:rPr>
          <w:tab/>
        </w:r>
        <w:r w:rsidRPr="005173D4">
          <w:rPr>
            <w:bCs/>
            <w:noProof/>
            <w:webHidden/>
            <w:sz w:val="28"/>
            <w:szCs w:val="28"/>
          </w:rPr>
          <w:fldChar w:fldCharType="begin"/>
        </w:r>
        <w:r w:rsidRPr="005173D4">
          <w:rPr>
            <w:bCs/>
            <w:noProof/>
            <w:webHidden/>
            <w:sz w:val="28"/>
            <w:szCs w:val="28"/>
          </w:rPr>
          <w:instrText xml:space="preserve"> PAGEREF _Toc214030261 \h </w:instrText>
        </w:r>
        <w:r w:rsidRPr="005173D4">
          <w:rPr>
            <w:bCs/>
            <w:noProof/>
            <w:webHidden/>
            <w:sz w:val="28"/>
            <w:szCs w:val="28"/>
          </w:rPr>
        </w:r>
        <w:r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Pr="005173D4">
          <w:rPr>
            <w:bCs/>
            <w:noProof/>
            <w:webHidden/>
            <w:sz w:val="28"/>
            <w:szCs w:val="28"/>
          </w:rPr>
          <w:t>2</w:t>
        </w:r>
        <w:r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544E8DC0" w14:textId="5FCA53C3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2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1. Эволюция взаимодействия ИБ и PR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_Toc214030262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4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64A0F0F0" w14:textId="07AC7686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3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1.1. Традиционный подход: изоляция ИБ и дефицит коммуникаций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_Toc214030263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4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0D482080" w14:textId="03746656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4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1.2. Причины перехода к открытости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_Toc214030264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5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231384E6" w14:textId="199BF00C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5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1.3. Новая значимость информационной прозрачности и внутреннего диалога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_Toc214030265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6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3EDE4073" w14:textId="02692A28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6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2. Стратегии совместной работы ИБ и PR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_Toc214030266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9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6F5B4DE5" w14:textId="65DD9FA6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7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2.1. Модель сотрудничества и распределение ролей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_Toc214030267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9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1CC84D65" w14:textId="19D55B27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8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2.2. Алгоритм совместных действий в условиях инцидентов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_Toc214030268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11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4B4DD144" w14:textId="2B88E8D2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69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2.3. Разбор успешных и провальных кейсов публичной коммуникации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_Toc214030269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15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0361F2AD" w14:textId="70BFA5AE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70" w:history="1">
        <w:r w:rsidR="005173D4" w:rsidRPr="005173D4">
          <w:rPr>
            <w:rStyle w:val="af"/>
            <w:bCs/>
            <w:noProof/>
            <w:snapToGrid w:val="0"/>
            <w:sz w:val="28"/>
            <w:szCs w:val="28"/>
          </w:rPr>
          <w:t>ЗАКЛЮЧЕНИЕ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_Toc214030270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18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5FA78993" w14:textId="51531053" w:rsidR="005173D4" w:rsidRPr="005173D4" w:rsidRDefault="00621F66" w:rsidP="005173D4">
      <w:pPr>
        <w:pStyle w:val="12"/>
        <w:tabs>
          <w:tab w:val="right" w:leader="dot" w:pos="9628"/>
        </w:tabs>
        <w:spacing w:line="360" w:lineRule="auto"/>
        <w:rPr>
          <w:bCs/>
          <w:noProof/>
          <w:sz w:val="28"/>
          <w:szCs w:val="28"/>
        </w:rPr>
      </w:pPr>
      <w:hyperlink w:anchor="_Toc214030271" w:history="1">
        <w:r w:rsidR="005173D4" w:rsidRPr="005173D4">
          <w:rPr>
            <w:rStyle w:val="af"/>
            <w:bCs/>
            <w:noProof/>
            <w:sz w:val="28"/>
            <w:szCs w:val="28"/>
          </w:rPr>
          <w:t>СПИСОК ИСПОЛЬЗОВАННЫХ ИСТОЧНИКОВ</w:t>
        </w:r>
        <w:r w:rsidR="005173D4" w:rsidRPr="005173D4">
          <w:rPr>
            <w:bCs/>
            <w:noProof/>
            <w:webHidden/>
            <w:sz w:val="28"/>
            <w:szCs w:val="28"/>
          </w:rPr>
          <w:tab/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begin"/>
        </w:r>
        <w:r w:rsidR="005173D4" w:rsidRPr="005173D4">
          <w:rPr>
            <w:bCs/>
            <w:noProof/>
            <w:webHidden/>
            <w:sz w:val="28"/>
            <w:szCs w:val="28"/>
          </w:rPr>
          <w:instrText xml:space="preserve"> PAGEREF _Toc214030271 \h </w:instrText>
        </w:r>
        <w:r w:rsidR="005173D4" w:rsidRPr="005173D4">
          <w:rPr>
            <w:bCs/>
            <w:noProof/>
            <w:webHidden/>
            <w:sz w:val="28"/>
            <w:szCs w:val="28"/>
          </w:rPr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separate"/>
        </w:r>
        <w:r w:rsidR="005173D4" w:rsidRPr="005173D4">
          <w:rPr>
            <w:bCs/>
            <w:noProof/>
            <w:webHidden/>
            <w:sz w:val="28"/>
            <w:szCs w:val="28"/>
          </w:rPr>
          <w:t>20</w:t>
        </w:r>
        <w:r w:rsidR="005173D4" w:rsidRPr="005173D4">
          <w:rPr>
            <w:bCs/>
            <w:noProof/>
            <w:webHidden/>
            <w:sz w:val="28"/>
            <w:szCs w:val="28"/>
          </w:rPr>
          <w:fldChar w:fldCharType="end"/>
        </w:r>
      </w:hyperlink>
    </w:p>
    <w:p w14:paraId="04C5A18E" w14:textId="3955A51E" w:rsidR="00305EF2" w:rsidRPr="003D6188" w:rsidRDefault="005173D4" w:rsidP="005173D4">
      <w:pPr>
        <w:pStyle w:val="11"/>
        <w:spacing w:line="360" w:lineRule="auto"/>
        <w:ind w:left="0"/>
        <w:jc w:val="center"/>
        <w:rPr>
          <w:b/>
          <w:i w:val="0"/>
          <w:color w:val="000000"/>
          <w:sz w:val="28"/>
          <w:szCs w:val="28"/>
        </w:rPr>
      </w:pPr>
      <w:r w:rsidRPr="005173D4">
        <w:rPr>
          <w:bCs/>
          <w:i w:val="0"/>
          <w:color w:val="000000"/>
          <w:sz w:val="28"/>
          <w:szCs w:val="28"/>
        </w:rPr>
        <w:fldChar w:fldCharType="end"/>
      </w:r>
    </w:p>
    <w:p w14:paraId="08A4759E" w14:textId="77777777" w:rsidR="00305EF2" w:rsidRPr="003D6188" w:rsidRDefault="00305EF2" w:rsidP="00305EF2">
      <w:pPr>
        <w:widowControl/>
        <w:autoSpaceDE/>
        <w:autoSpaceDN/>
        <w:adjustRightInd/>
        <w:spacing w:after="160" w:line="360" w:lineRule="auto"/>
        <w:rPr>
          <w:b/>
          <w:snapToGrid w:val="0"/>
          <w:color w:val="000000"/>
          <w:sz w:val="28"/>
          <w:szCs w:val="28"/>
        </w:rPr>
      </w:pPr>
      <w:r w:rsidRPr="003D6188">
        <w:rPr>
          <w:b/>
          <w:i/>
          <w:color w:val="000000"/>
          <w:sz w:val="28"/>
          <w:szCs w:val="28"/>
        </w:rPr>
        <w:br w:type="page"/>
      </w:r>
    </w:p>
    <w:p w14:paraId="192DE717" w14:textId="7D1A7B98" w:rsidR="007458BB" w:rsidRPr="005173D4" w:rsidRDefault="005173D4" w:rsidP="005173D4">
      <w:pPr>
        <w:pStyle w:val="1"/>
        <w:jc w:val="center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</w:pPr>
      <w:bookmarkStart w:id="0" w:name="_Toc214030261"/>
      <w:r w:rsidRPr="005173D4"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  <w:lastRenderedPageBreak/>
        <w:t>ВВЕДЕНИЕ</w:t>
      </w:r>
      <w:bookmarkEnd w:id="0"/>
    </w:p>
    <w:p w14:paraId="36731EAE" w14:textId="77777777" w:rsid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</w:p>
    <w:p w14:paraId="57B17A97" w14:textId="5BA1B605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>Информационные системы сегодня становятся основой операционной деятельности, а объёмы обрабатываемых данных достигают масштабов, при которых даже локальные сбои способны создать юридические, финансовые и репутационные последствия. Вследствие вопросы информационной безопасности приобрели статус критически значимых элементов корпоративного управления, определяющих устойчивость компаний.</w:t>
      </w:r>
    </w:p>
    <w:p w14:paraId="2696AC0A" w14:textId="5539C075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>Параллельно с усилением роли информационной безопасности происходит трансформация подходов к корпоративным коммуникациям. В условиях высокой информационной плотности, увеличения скорости распространения данных в цифровой среде и усиления внимания со стороны СМИ, клиентов, партнёров и регуляторов ответственность за формирование и поддержание публичного образа организации возлагается на подразделения по связям с общественностью. От эффективности их работы зависит то, насколько корректно будут интерпретированы произошедшие события, как быстро удастся стабилизировать информационный фон и какие выводы сделают внешние аудитории о компетентности организации.</w:t>
      </w:r>
    </w:p>
    <w:p w14:paraId="07D746F9" w14:textId="6A649B3E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>Именно в точке пересечения информационной безопасности и публичных коммуникаций формируется новая область корпоративного управления — коммуникация рисков кибербезопасности. Исторически данные функции были разъединены. Подразделения ИБ ориентировались на технологическую закрытость, регламентацию доступа и управление техническими параметрами инфраструктуры. Их задачи включали предотвращение атак, обеспечение конфиденциальности и целостности данных, мониторинг угроз и минимизацию эксплуатационных рисков. В свою очередь, PR-подразделения сосредоточивали внимание на внешних и внутренних коммуникациях, формировании имиджа организации, взаимодействии со СМИ и поддержании общественного доверия.</w:t>
      </w:r>
    </w:p>
    <w:p w14:paraId="07D4C07A" w14:textId="07E8C012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 xml:space="preserve">Актуальность исследования усиливается также нормативно-правовыми изменениями. Международные и национальные регуляторы вводят всё более </w:t>
      </w:r>
      <w:r w:rsidRPr="005173D4">
        <w:rPr>
          <w:snapToGrid w:val="0"/>
          <w:color w:val="000000"/>
          <w:sz w:val="28"/>
          <w:szCs w:val="28"/>
        </w:rPr>
        <w:lastRenderedPageBreak/>
        <w:t xml:space="preserve">жёсткие требования к уведомлению об инцидентах информационной безопасности. Примерами служат требования GDPR относительно сообщений об утечках персональных данных, отраслевые правила PCI DSS, рекомендации ENISA о прозрачных коммуникациях и стандарты национальных центров киберустойчивости. </w:t>
      </w:r>
    </w:p>
    <w:p w14:paraId="06A749B6" w14:textId="05172FD1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 xml:space="preserve">В последние годы сложилась тенденция к интеграции подразделений ИБ и PR в общий контур управления инцидентами. Появляются новые модели взаимодействия, включающие проактивный обмен данными, совместные тренировки, разработку единых сценариев реагирования и согласование алгоритмов коммуникаций. Ведущие международные компании формируют так называемые «комнаты ситуационного управления», в которых ИБ, PR, юридические и управленческие команды работают совместно с первых минут инцидента. </w:t>
      </w:r>
    </w:p>
    <w:p w14:paraId="1A7909C2" w14:textId="77777777" w:rsid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 xml:space="preserve">Целью исследования является анализ взаимосвязи между информационной безопасностью и публичными коммуникациями, выявление факторов. </w:t>
      </w:r>
    </w:p>
    <w:p w14:paraId="5AC377D9" w14:textId="12BDE7F9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>Для достижения поставленной цели в работе решаются следующие задачи:</w:t>
      </w:r>
    </w:p>
    <w:p w14:paraId="146FF010" w14:textId="14E9C6DD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</w:t>
      </w:r>
      <w:r w:rsidRPr="005173D4">
        <w:rPr>
          <w:snapToGrid w:val="0"/>
          <w:color w:val="000000"/>
          <w:sz w:val="28"/>
          <w:szCs w:val="28"/>
        </w:rPr>
        <w:t xml:space="preserve"> рассмотрение исторических причин формирования традиционной модели изоляции ИБ;</w:t>
      </w:r>
    </w:p>
    <w:p w14:paraId="25594252" w14:textId="38F444E2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5173D4">
        <w:rPr>
          <w:snapToGrid w:val="0"/>
          <w:color w:val="000000"/>
          <w:sz w:val="28"/>
          <w:szCs w:val="28"/>
        </w:rPr>
        <w:t>анализ факторов, вызвавших необходимость в переходе к открытым и координированным коммуникациям;</w:t>
      </w:r>
    </w:p>
    <w:p w14:paraId="6C521994" w14:textId="31B3235C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</w:t>
      </w:r>
      <w:r w:rsidRPr="005173D4">
        <w:rPr>
          <w:snapToGrid w:val="0"/>
          <w:color w:val="000000"/>
          <w:sz w:val="28"/>
          <w:szCs w:val="28"/>
        </w:rPr>
        <w:t xml:space="preserve"> исследование современных подходов к построению совместной работы подразделений информационной безопасности и связей с общественностью;</w:t>
      </w:r>
    </w:p>
    <w:p w14:paraId="24AC4225" w14:textId="4A319C7F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</w:t>
      </w:r>
      <w:r w:rsidRPr="005173D4">
        <w:rPr>
          <w:snapToGrid w:val="0"/>
          <w:color w:val="000000"/>
          <w:sz w:val="28"/>
          <w:szCs w:val="28"/>
        </w:rPr>
        <w:t xml:space="preserve"> изучение алгоритмов реагирования на инциденты и структурирования коммуникаций;</w:t>
      </w:r>
    </w:p>
    <w:p w14:paraId="4FFCD85D" w14:textId="2E50175D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</w:t>
      </w:r>
      <w:r w:rsidRPr="005173D4">
        <w:rPr>
          <w:snapToGrid w:val="0"/>
          <w:color w:val="000000"/>
          <w:sz w:val="28"/>
          <w:szCs w:val="28"/>
        </w:rPr>
        <w:t xml:space="preserve"> сравнительный анализ успешных и неудовлетворительных практик публичного взаимодействия в условиях киберинцидентов</w:t>
      </w:r>
      <w:r>
        <w:rPr>
          <w:snapToGrid w:val="0"/>
          <w:color w:val="000000"/>
          <w:sz w:val="28"/>
          <w:szCs w:val="28"/>
        </w:rPr>
        <w:t>.</w:t>
      </w:r>
    </w:p>
    <w:p w14:paraId="5E9B712B" w14:textId="588D3B89" w:rsidR="005173D4" w:rsidRPr="005173D4" w:rsidRDefault="005173D4" w:rsidP="005173D4">
      <w:pPr>
        <w:widowControl/>
        <w:autoSpaceDE/>
        <w:autoSpaceDN/>
        <w:adjustRightInd/>
        <w:spacing w:line="360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5173D4">
        <w:rPr>
          <w:snapToGrid w:val="0"/>
          <w:color w:val="000000"/>
          <w:sz w:val="28"/>
          <w:szCs w:val="28"/>
        </w:rPr>
        <w:t xml:space="preserve">Таким образом, данная работа </w:t>
      </w:r>
      <w:r>
        <w:rPr>
          <w:snapToGrid w:val="0"/>
          <w:color w:val="000000"/>
          <w:sz w:val="28"/>
          <w:szCs w:val="28"/>
        </w:rPr>
        <w:t>-</w:t>
      </w:r>
      <w:r w:rsidRPr="005173D4">
        <w:rPr>
          <w:snapToGrid w:val="0"/>
          <w:color w:val="000000"/>
          <w:sz w:val="28"/>
          <w:szCs w:val="28"/>
        </w:rPr>
        <w:t xml:space="preserve"> исследование, направленное на выявление закономерностей, определяющих эффективность взаимодействия информационной безопасности и публичных коммуникаций. </w:t>
      </w:r>
    </w:p>
    <w:p w14:paraId="618A0646" w14:textId="56E68B05" w:rsidR="001A5746" w:rsidRPr="003D6188" w:rsidRDefault="001A5746" w:rsidP="005173D4">
      <w:pPr>
        <w:widowControl/>
        <w:autoSpaceDE/>
        <w:autoSpaceDN/>
        <w:adjustRightInd/>
        <w:spacing w:after="160" w:line="360" w:lineRule="auto"/>
        <w:jc w:val="both"/>
        <w:rPr>
          <w:snapToGrid w:val="0"/>
          <w:color w:val="000000"/>
          <w:sz w:val="28"/>
          <w:szCs w:val="28"/>
        </w:rPr>
      </w:pPr>
      <w:r w:rsidRPr="003D6188">
        <w:rPr>
          <w:snapToGrid w:val="0"/>
          <w:color w:val="000000"/>
          <w:sz w:val="28"/>
          <w:szCs w:val="28"/>
        </w:rPr>
        <w:br w:type="page"/>
      </w:r>
    </w:p>
    <w:p w14:paraId="3244734E" w14:textId="620E6696" w:rsidR="00A20EFE" w:rsidRPr="00C95707" w:rsidRDefault="00A20EFE" w:rsidP="00A20EFE">
      <w:pPr>
        <w:pStyle w:val="1"/>
        <w:spacing w:before="0" w:line="360" w:lineRule="auto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</w:pPr>
    </w:p>
    <w:p w14:paraId="3ECE5B00" w14:textId="413D0A69" w:rsidR="00A20EFE" w:rsidRPr="00A20EFE" w:rsidRDefault="00A20EFE" w:rsidP="00A20EFE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</w:pPr>
      <w:bookmarkStart w:id="1" w:name="_Toc214030262"/>
      <w:r w:rsidRPr="00A20EFE"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  <w:t>1. Эволюция взаимодействия ИБ и PR</w:t>
      </w:r>
      <w:bookmarkEnd w:id="1"/>
      <w:r w:rsidRPr="00A20EFE"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  <w:t xml:space="preserve"> </w:t>
      </w:r>
    </w:p>
    <w:p w14:paraId="66730411" w14:textId="5DC52BC5" w:rsidR="00A20EFE" w:rsidRPr="00A20EFE" w:rsidRDefault="00A20EFE" w:rsidP="00A20EFE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</w:pPr>
      <w:bookmarkStart w:id="2" w:name="_Toc214030263"/>
      <w:r w:rsidRPr="00A20EFE">
        <w:rPr>
          <w:rFonts w:ascii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  <w:t>1.1. Традиционный подход: изоляция ИБ и дефицит коммуникаций</w:t>
      </w:r>
      <w:bookmarkEnd w:id="2"/>
    </w:p>
    <w:sectPr w:rsidR="00A20EFE" w:rsidRPr="00A20EFE" w:rsidSect="00A45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DA40" w14:textId="77777777" w:rsidR="00621F66" w:rsidRDefault="00621F66" w:rsidP="00A3159B">
      <w:r>
        <w:separator/>
      </w:r>
    </w:p>
  </w:endnote>
  <w:endnote w:type="continuationSeparator" w:id="0">
    <w:p w14:paraId="041D40EC" w14:textId="77777777" w:rsidR="00621F66" w:rsidRDefault="00621F66" w:rsidP="00A3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36BC" w14:textId="77777777" w:rsidR="00944A6F" w:rsidRDefault="00944A6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866214"/>
      <w:docPartObj>
        <w:docPartGallery w:val="Page Numbers (Bottom of Page)"/>
        <w:docPartUnique/>
      </w:docPartObj>
    </w:sdtPr>
    <w:sdtEndPr/>
    <w:sdtContent>
      <w:p w14:paraId="746FCCE7" w14:textId="39B675B1" w:rsidR="00A3159B" w:rsidRDefault="00A3159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31">
          <w:rPr>
            <w:noProof/>
          </w:rPr>
          <w:t>25</w:t>
        </w:r>
        <w:r>
          <w:fldChar w:fldCharType="end"/>
        </w:r>
      </w:p>
    </w:sdtContent>
  </w:sdt>
  <w:p w14:paraId="440B4EE2" w14:textId="77777777" w:rsidR="00A3159B" w:rsidRDefault="00A3159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3A83" w14:textId="77777777" w:rsidR="00944A6F" w:rsidRDefault="00944A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9FDC" w14:textId="77777777" w:rsidR="00621F66" w:rsidRDefault="00621F66" w:rsidP="00A3159B">
      <w:r>
        <w:separator/>
      </w:r>
    </w:p>
  </w:footnote>
  <w:footnote w:type="continuationSeparator" w:id="0">
    <w:p w14:paraId="1897D0A4" w14:textId="77777777" w:rsidR="00621F66" w:rsidRDefault="00621F66" w:rsidP="00A31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66EB" w14:textId="77777777" w:rsidR="00944A6F" w:rsidRDefault="00944A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E2B7" w14:textId="77777777" w:rsidR="00944A6F" w:rsidRDefault="00944A6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42F6" w14:textId="77777777" w:rsidR="00944A6F" w:rsidRDefault="00944A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443"/>
    <w:multiLevelType w:val="hybridMultilevel"/>
    <w:tmpl w:val="3A264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6B2"/>
    <w:multiLevelType w:val="hybridMultilevel"/>
    <w:tmpl w:val="DE9A44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CE4CF6"/>
    <w:multiLevelType w:val="multilevel"/>
    <w:tmpl w:val="6596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62D6C"/>
    <w:multiLevelType w:val="multilevel"/>
    <w:tmpl w:val="84D6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B6AEC"/>
    <w:multiLevelType w:val="multilevel"/>
    <w:tmpl w:val="6ED4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6584A"/>
    <w:multiLevelType w:val="multilevel"/>
    <w:tmpl w:val="BABC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C4552"/>
    <w:multiLevelType w:val="multilevel"/>
    <w:tmpl w:val="30C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6F518C"/>
    <w:multiLevelType w:val="multilevel"/>
    <w:tmpl w:val="65E4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21708"/>
    <w:multiLevelType w:val="multilevel"/>
    <w:tmpl w:val="A3CE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44BDC"/>
    <w:multiLevelType w:val="multilevel"/>
    <w:tmpl w:val="1B6E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116DF"/>
    <w:multiLevelType w:val="multilevel"/>
    <w:tmpl w:val="333CDBBE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4" w:hanging="6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3C0D7CE8"/>
    <w:multiLevelType w:val="multilevel"/>
    <w:tmpl w:val="5EA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C3179"/>
    <w:multiLevelType w:val="multilevel"/>
    <w:tmpl w:val="5DD8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61B7E"/>
    <w:multiLevelType w:val="hybridMultilevel"/>
    <w:tmpl w:val="D6484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C32F5E"/>
    <w:multiLevelType w:val="multilevel"/>
    <w:tmpl w:val="E168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10E58"/>
    <w:multiLevelType w:val="hybridMultilevel"/>
    <w:tmpl w:val="3132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72B01"/>
    <w:multiLevelType w:val="multilevel"/>
    <w:tmpl w:val="106E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947A36"/>
    <w:multiLevelType w:val="multilevel"/>
    <w:tmpl w:val="8CA65AB6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4" w:hanging="6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74750C4"/>
    <w:multiLevelType w:val="multilevel"/>
    <w:tmpl w:val="7686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E08F9"/>
    <w:multiLevelType w:val="multilevel"/>
    <w:tmpl w:val="F0E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B6354D"/>
    <w:multiLevelType w:val="multilevel"/>
    <w:tmpl w:val="F78C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5E7428"/>
    <w:multiLevelType w:val="multilevel"/>
    <w:tmpl w:val="EB32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A2050"/>
    <w:multiLevelType w:val="hybridMultilevel"/>
    <w:tmpl w:val="C1FA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D2629"/>
    <w:multiLevelType w:val="multilevel"/>
    <w:tmpl w:val="754A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7872FD"/>
    <w:multiLevelType w:val="multilevel"/>
    <w:tmpl w:val="6C9C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2"/>
  </w:num>
  <w:num w:numId="5">
    <w:abstractNumId w:val="15"/>
  </w:num>
  <w:num w:numId="6">
    <w:abstractNumId w:val="3"/>
  </w:num>
  <w:num w:numId="7">
    <w:abstractNumId w:val="2"/>
  </w:num>
  <w:num w:numId="8">
    <w:abstractNumId w:val="21"/>
  </w:num>
  <w:num w:numId="9">
    <w:abstractNumId w:val="16"/>
  </w:num>
  <w:num w:numId="10">
    <w:abstractNumId w:val="5"/>
  </w:num>
  <w:num w:numId="11">
    <w:abstractNumId w:val="12"/>
  </w:num>
  <w:num w:numId="12">
    <w:abstractNumId w:val="7"/>
  </w:num>
  <w:num w:numId="13">
    <w:abstractNumId w:val="20"/>
  </w:num>
  <w:num w:numId="14">
    <w:abstractNumId w:val="18"/>
  </w:num>
  <w:num w:numId="15">
    <w:abstractNumId w:val="11"/>
  </w:num>
  <w:num w:numId="16">
    <w:abstractNumId w:val="19"/>
  </w:num>
  <w:num w:numId="17">
    <w:abstractNumId w:val="14"/>
  </w:num>
  <w:num w:numId="18">
    <w:abstractNumId w:val="8"/>
  </w:num>
  <w:num w:numId="19">
    <w:abstractNumId w:val="23"/>
  </w:num>
  <w:num w:numId="20">
    <w:abstractNumId w:val="4"/>
  </w:num>
  <w:num w:numId="21">
    <w:abstractNumId w:val="24"/>
  </w:num>
  <w:num w:numId="22">
    <w:abstractNumId w:val="17"/>
  </w:num>
  <w:num w:numId="23">
    <w:abstractNumId w:val="10"/>
  </w:num>
  <w:num w:numId="24">
    <w:abstractNumId w:val="1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09"/>
    <w:rsid w:val="0004154C"/>
    <w:rsid w:val="00041FB2"/>
    <w:rsid w:val="00047E6B"/>
    <w:rsid w:val="000542EF"/>
    <w:rsid w:val="000550C0"/>
    <w:rsid w:val="00066FC3"/>
    <w:rsid w:val="0008605C"/>
    <w:rsid w:val="00097E5D"/>
    <w:rsid w:val="000B695B"/>
    <w:rsid w:val="000D4893"/>
    <w:rsid w:val="00105B68"/>
    <w:rsid w:val="0010673A"/>
    <w:rsid w:val="00127C7F"/>
    <w:rsid w:val="001351F4"/>
    <w:rsid w:val="0017607C"/>
    <w:rsid w:val="00182AB3"/>
    <w:rsid w:val="00187615"/>
    <w:rsid w:val="001A5746"/>
    <w:rsid w:val="001B5584"/>
    <w:rsid w:val="001C2000"/>
    <w:rsid w:val="001C5971"/>
    <w:rsid w:val="001E652B"/>
    <w:rsid w:val="00201133"/>
    <w:rsid w:val="002464F5"/>
    <w:rsid w:val="002623C8"/>
    <w:rsid w:val="002F30C7"/>
    <w:rsid w:val="00305EF2"/>
    <w:rsid w:val="0036679B"/>
    <w:rsid w:val="00370A8D"/>
    <w:rsid w:val="00377EDE"/>
    <w:rsid w:val="003826FB"/>
    <w:rsid w:val="00382D29"/>
    <w:rsid w:val="00387BE9"/>
    <w:rsid w:val="003A3204"/>
    <w:rsid w:val="003A3916"/>
    <w:rsid w:val="003B5DAD"/>
    <w:rsid w:val="003D6188"/>
    <w:rsid w:val="003E13ED"/>
    <w:rsid w:val="003E167D"/>
    <w:rsid w:val="003E3ABE"/>
    <w:rsid w:val="003E3C55"/>
    <w:rsid w:val="003E69A5"/>
    <w:rsid w:val="0042388B"/>
    <w:rsid w:val="00435E7A"/>
    <w:rsid w:val="0046083E"/>
    <w:rsid w:val="00472F21"/>
    <w:rsid w:val="00491E3F"/>
    <w:rsid w:val="004972B8"/>
    <w:rsid w:val="004C182B"/>
    <w:rsid w:val="004F5C06"/>
    <w:rsid w:val="005173D4"/>
    <w:rsid w:val="005270C2"/>
    <w:rsid w:val="005849CB"/>
    <w:rsid w:val="005A3B9D"/>
    <w:rsid w:val="005C101A"/>
    <w:rsid w:val="00621F66"/>
    <w:rsid w:val="00626851"/>
    <w:rsid w:val="00632D23"/>
    <w:rsid w:val="00635C3E"/>
    <w:rsid w:val="00664F34"/>
    <w:rsid w:val="00680554"/>
    <w:rsid w:val="00693B46"/>
    <w:rsid w:val="006A0870"/>
    <w:rsid w:val="006A2AF3"/>
    <w:rsid w:val="006A54DC"/>
    <w:rsid w:val="00704380"/>
    <w:rsid w:val="00730145"/>
    <w:rsid w:val="00735472"/>
    <w:rsid w:val="007458BB"/>
    <w:rsid w:val="007925A8"/>
    <w:rsid w:val="007A53D9"/>
    <w:rsid w:val="007A5B64"/>
    <w:rsid w:val="007A6209"/>
    <w:rsid w:val="007C4313"/>
    <w:rsid w:val="00800A61"/>
    <w:rsid w:val="00815CC7"/>
    <w:rsid w:val="008426E2"/>
    <w:rsid w:val="00867231"/>
    <w:rsid w:val="008A7682"/>
    <w:rsid w:val="00902135"/>
    <w:rsid w:val="00912661"/>
    <w:rsid w:val="00927C08"/>
    <w:rsid w:val="009305B8"/>
    <w:rsid w:val="00934C17"/>
    <w:rsid w:val="00944A6F"/>
    <w:rsid w:val="00981F7F"/>
    <w:rsid w:val="009859FB"/>
    <w:rsid w:val="009C2B09"/>
    <w:rsid w:val="009D2A7F"/>
    <w:rsid w:val="009D4862"/>
    <w:rsid w:val="009F650E"/>
    <w:rsid w:val="00A04A78"/>
    <w:rsid w:val="00A0665F"/>
    <w:rsid w:val="00A20EFE"/>
    <w:rsid w:val="00A3159B"/>
    <w:rsid w:val="00A32793"/>
    <w:rsid w:val="00A432F0"/>
    <w:rsid w:val="00A451D8"/>
    <w:rsid w:val="00A61B23"/>
    <w:rsid w:val="00A65C85"/>
    <w:rsid w:val="00A80D20"/>
    <w:rsid w:val="00A85344"/>
    <w:rsid w:val="00AA4BE2"/>
    <w:rsid w:val="00AA74C6"/>
    <w:rsid w:val="00AB3384"/>
    <w:rsid w:val="00AD490A"/>
    <w:rsid w:val="00AE7ECD"/>
    <w:rsid w:val="00B6015D"/>
    <w:rsid w:val="00B6699B"/>
    <w:rsid w:val="00B704A5"/>
    <w:rsid w:val="00B751D3"/>
    <w:rsid w:val="00B95B14"/>
    <w:rsid w:val="00BA40E7"/>
    <w:rsid w:val="00BA7828"/>
    <w:rsid w:val="00BB14EC"/>
    <w:rsid w:val="00BB7399"/>
    <w:rsid w:val="00BC620E"/>
    <w:rsid w:val="00BE61F9"/>
    <w:rsid w:val="00C042EB"/>
    <w:rsid w:val="00C179D5"/>
    <w:rsid w:val="00C54254"/>
    <w:rsid w:val="00C8252B"/>
    <w:rsid w:val="00C95707"/>
    <w:rsid w:val="00CB54B8"/>
    <w:rsid w:val="00CB7CBA"/>
    <w:rsid w:val="00CC3956"/>
    <w:rsid w:val="00CF72A5"/>
    <w:rsid w:val="00D6621B"/>
    <w:rsid w:val="00D72D35"/>
    <w:rsid w:val="00D84B1E"/>
    <w:rsid w:val="00D97667"/>
    <w:rsid w:val="00DA5489"/>
    <w:rsid w:val="00DB76DF"/>
    <w:rsid w:val="00DE1AE6"/>
    <w:rsid w:val="00DE3619"/>
    <w:rsid w:val="00DE45A2"/>
    <w:rsid w:val="00DF0A2A"/>
    <w:rsid w:val="00E009D4"/>
    <w:rsid w:val="00E40DDE"/>
    <w:rsid w:val="00E40EFB"/>
    <w:rsid w:val="00E96470"/>
    <w:rsid w:val="00EA556A"/>
    <w:rsid w:val="00EB28DE"/>
    <w:rsid w:val="00EB4C7E"/>
    <w:rsid w:val="00EB61FF"/>
    <w:rsid w:val="00EC404C"/>
    <w:rsid w:val="00F022EE"/>
    <w:rsid w:val="00F7517E"/>
    <w:rsid w:val="00F859AF"/>
    <w:rsid w:val="00F85D44"/>
    <w:rsid w:val="00FC18E8"/>
    <w:rsid w:val="00FC5141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72835"/>
  <w15:chartTrackingRefBased/>
  <w15:docId w15:val="{1814BB88-4285-4FA2-ADF6-B4E5E89C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0E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A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F0A2A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E5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line number"/>
    <w:basedOn w:val="a0"/>
    <w:uiPriority w:val="99"/>
    <w:semiHidden/>
    <w:unhideWhenUsed/>
    <w:rsid w:val="009C2B09"/>
  </w:style>
  <w:style w:type="character" w:customStyle="1" w:styleId="40">
    <w:name w:val="Заголовок 4 Знак"/>
    <w:basedOn w:val="a0"/>
    <w:link w:val="4"/>
    <w:uiPriority w:val="9"/>
    <w:semiHidden/>
    <w:rsid w:val="00DF0A2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F0A2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Обычный1"/>
    <w:rsid w:val="00DF0A2A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DF0A2A"/>
    <w:pPr>
      <w:widowControl/>
      <w:autoSpaceDE/>
      <w:autoSpaceDN/>
      <w:adjustRightInd/>
      <w:jc w:val="center"/>
    </w:pPr>
    <w:rPr>
      <w:b/>
      <w:sz w:val="28"/>
      <w:u w:val="single"/>
    </w:rPr>
  </w:style>
  <w:style w:type="character" w:customStyle="1" w:styleId="a6">
    <w:name w:val="Заголовок Знак"/>
    <w:basedOn w:val="a0"/>
    <w:link w:val="a5"/>
    <w:rsid w:val="00DF0A2A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7">
    <w:name w:val="header"/>
    <w:basedOn w:val="a"/>
    <w:link w:val="a8"/>
    <w:uiPriority w:val="99"/>
    <w:unhideWhenUsed/>
    <w:rsid w:val="00A315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1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315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3159B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A3159B"/>
    <w:rPr>
      <w:rFonts w:eastAsiaTheme="minorEastAsia"/>
      <w:lang w:eastAsia="ru-RU"/>
    </w:rPr>
  </w:style>
  <w:style w:type="table" w:styleId="ad">
    <w:name w:val="Table Grid"/>
    <w:basedOn w:val="a1"/>
    <w:uiPriority w:val="39"/>
    <w:rsid w:val="0008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0E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e">
    <w:name w:val="Strong"/>
    <w:basedOn w:val="a0"/>
    <w:uiPriority w:val="22"/>
    <w:qFormat/>
    <w:rsid w:val="00A20EFE"/>
    <w:rPr>
      <w:b/>
      <w:bCs/>
    </w:rPr>
  </w:style>
  <w:style w:type="paragraph" w:styleId="12">
    <w:name w:val="toc 1"/>
    <w:basedOn w:val="a"/>
    <w:next w:val="a"/>
    <w:autoRedefine/>
    <w:uiPriority w:val="39"/>
    <w:unhideWhenUsed/>
    <w:rsid w:val="005173D4"/>
    <w:pPr>
      <w:spacing w:after="100"/>
    </w:pPr>
  </w:style>
  <w:style w:type="character" w:styleId="af">
    <w:name w:val="Hyperlink"/>
    <w:basedOn w:val="a0"/>
    <w:uiPriority w:val="99"/>
    <w:unhideWhenUsed/>
    <w:rsid w:val="00517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8907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1CDA-197E-4BF4-9668-547C8BE8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Александр Мазыкин</cp:lastModifiedBy>
  <cp:revision>6</cp:revision>
  <dcterms:created xsi:type="dcterms:W3CDTF">2025-11-14T09:31:00Z</dcterms:created>
  <dcterms:modified xsi:type="dcterms:W3CDTF">2026-08-31T12:40:00Z</dcterms:modified>
</cp:coreProperties>
</file>