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36.jpeg" ContentType="image/jpeg"/>
  <Override PartName="/word/media/image35.jpeg" ContentType="image/jpeg"/>
  <Override PartName="/word/media/image34.jpeg" ContentType="image/jpeg"/>
  <Override PartName="/word/media/image6.jpeg" ContentType="image/jpeg"/>
  <Override PartName="/word/media/image9.jpeg" ContentType="image/jpeg"/>
  <Override PartName="/word/media/image8.jpeg" ContentType="image/jpeg"/>
  <Override PartName="/word/media/image22.png" ContentType="image/png"/>
  <Override PartName="/word/media/image28.png" ContentType="image/png"/>
  <Override PartName="/word/media/image30.png" ContentType="image/png"/>
  <Override PartName="/word/media/image32.png" ContentType="image/png"/>
  <Override PartName="/word/media/image19.jpeg" ContentType="image/jpeg"/>
  <Override PartName="/word/media/image18.jpeg" ContentType="image/jpeg"/>
  <Override PartName="/word/media/image17.jpeg" ContentType="image/jpeg"/>
  <Override PartName="/word/media/image15.jpeg" ContentType="image/jpeg"/>
  <Override PartName="/word/media/image11.jpeg" ContentType="image/jpeg"/>
  <Override PartName="/word/media/image10.jpeg" ContentType="image/jpeg"/>
  <Override PartName="/word/media/image16.jpeg" ContentType="image/jpeg"/>
  <Override PartName="/word/media/image13.jpeg" ContentType="image/jpeg"/>
  <Override PartName="/word/media/image14.jpeg" ContentType="image/jpeg"/>
  <Override PartName="/word/media/image12.jpeg" ContentType="image/jpeg"/>
  <Override PartName="/word/media/image38.jpeg" ContentType="image/jpeg"/>
  <Override PartName="/word/media/image40.jpeg" ContentType="image/jpeg"/>
  <Override PartName="/word/media/image33.jpeg" ContentType="image/jpeg"/>
  <Override PartName="/word/media/image39.jpeg" ContentType="image/jpeg"/>
  <Override PartName="/word/media/image37.jpeg" ContentType="image/jpeg"/>
  <Override PartName="/word/media/image31.jpeg" ContentType="image/jpeg"/>
  <Override PartName="/word/media/image20.jpeg" ContentType="image/jpeg"/>
  <Override PartName="/word/media/image21.jpeg" ContentType="image/jpeg"/>
  <Override PartName="/word/media/image1.jpeg" ContentType="image/jpeg"/>
  <Override PartName="/word/media/image23.jpeg" ContentType="image/jpeg"/>
  <Override PartName="/word/media/image2.jpeg" ContentType="image/jpeg"/>
  <Override PartName="/word/media/image24.jpeg" ContentType="image/jpeg"/>
  <Override PartName="/word/media/image3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7.jpeg" ContentType="image/jpeg"/>
  <Override PartName="/word/media/image29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Спроектировать откидной крючок для одежды.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Крючок шарнирно крепится к стене. Должен выдерживать нагрузку до 50кг. Не иметь острых краев. Исключать соскальзывание с него одежды. Предусмотреть фиксирование в сложенном состоянии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покрытие. Крепление стандартными шурупами.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 </w:t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428750" cy="14287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19" r="-19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карточную врезную дверную петлю для деревянной двери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Должна выдерживать вес до 120кг. Должна обеспечивать автоматическое закрывание открытой двери.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покрытие. Крепление стандартными шурупами.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 </w:t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3166110" cy="211074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1" t="-1" r="-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110" cy="211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mc:AlternateContent>
                <mc:Choice Requires="wps">
                  <w:drawing>
                    <wp:anchor behindDoc="0" distT="0" distB="0" distL="0" distR="125095" simplePos="0" locked="0" layoutInCell="1" allowOverlap="1" relativeHeight="42">
                      <wp:simplePos x="0" y="0"/>
                      <wp:positionH relativeFrom="column">
                        <wp:align>left</wp:align>
                      </wp:positionH>
                      <wp:positionV relativeFrom="paragraph">
                        <wp:posOffset>635</wp:posOffset>
                      </wp:positionV>
                      <wp:extent cx="5971540" cy="350520"/>
                      <wp:effectExtent l="0" t="0" r="0" b="0"/>
                      <wp:wrapSquare wrapText="bothSides"/>
                      <wp:docPr id="3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1540" cy="350520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W w:w="9404" w:type="dxa"/>
                                    <w:jc w:val="left"/>
                                    <w:tblInd w:w="0" w:type="dxa"/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3"/>
                                  </w:tblGrid>
                                  <w:tr>
                                    <w:trPr>
                                      <w:trHeight w:val="30" w:hRule="atLeast"/>
                                    </w:trPr>
                                    <w:tc>
                                      <w:tcPr>
                                        <w:tcW w:w="3" w:type="dxa"/>
                                        <w:tcBorders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napToGrid w:val="false"/>
                                          <w:ind w:hanging="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lang w:val="en-US" w:eastAsia="en-US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  <w:lang w:val="en-US" w:eastAsia="en-US"/>
                                          </w:rPr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3" w:type="dxa"/>
                                        <w:tcBorders/>
                                        <w:vAlign w:val="center"/>
                                      </w:tcPr>
                                      <w:p>
                                        <w:pPr>
                                          <w:pStyle w:val="Normal"/>
                                          <w:snapToGrid w:val="false"/>
                                          <w:ind w:hanging="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  <w:lang w:val="en-US" w:eastAsia="en-US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  <w:lang w:val="en-US" w:eastAsia="en-US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</w:txbxContent>
                            </wps:txbx>
                            <wps:bodyPr anchor="t" lIns="0" tIns="0" rIns="0" bIns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0;width:470.2pt;height:27.6pt;mso-wrap-distance-left:0pt;mso-wrap-distance-right:9.85pt;mso-wrap-distance-top:0pt;mso-wrap-distance-bottom:0pt;margin-top:0pt;mso-position-vertical-relative:text;margin-left:-5.4pt;mso-position-horizontal:left;mso-position-horizontal-relative:text">
                      <v:textbox inset="0in,0in,0in,0in">
                        <w:txbxContent>
                          <w:tbl>
                            <w:tblPr>
                              <w:tblW w:w="9404" w:type="dxa"/>
                              <w:jc w:val="left"/>
                              <w:tblInd w:w="0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"/>
                            </w:tblGrid>
                            <w:tr>
                              <w:trPr>
                                <w:trHeight w:val="30" w:hRule="atLeast"/>
                              </w:trPr>
                              <w:tc>
                                <w:tcPr>
                                  <w:tcW w:w="3" w:type="dxa"/>
                                  <w:tcBorders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ind w:hanging="0"/>
                                    <w:jc w:val="center"/>
                                    <w:rPr>
                                      <w:sz w:val="24"/>
                                      <w:szCs w:val="24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en-US"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3" w:type="dxa"/>
                                  <w:tcBorders/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ind w:hanging="0"/>
                                    <w:jc w:val="center"/>
                                    <w:rPr>
                                      <w:sz w:val="24"/>
                                      <w:szCs w:val="24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en-US" w:eastAsia="en-US"/>
                                    </w:rPr>
                                  </w:r>
                                </w:p>
                              </w:tc>
                            </w:tr>
                          </w:tbl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3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ручку-серьгу мебельную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Ручка откидная. Должна выдерживать усилие до 70кг. Не иметь острых граней.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Крепление шпилькой. Декоративное износостойкое покрытие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5000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762000" cy="1809750"/>
                  <wp:effectExtent l="0" t="0" r="0" b="0"/>
                  <wp:docPr id="4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47" t="-20" r="-47" b="-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428750" cy="1647825"/>
                  <wp:effectExtent l="0" t="0" r="0" b="0"/>
                  <wp:docPr id="5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25" t="-22" r="-25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4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сушку для посуды на раме.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Вместимость не менее 20 стандартных тарелок. Надежная фиксация тарелок. Наружная ширина 570мм. Глубина 450мм. Должна выдерживать вес до 30кг. На раме.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Антикоррозийное износостойкое покрытие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2000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409825" cy="1885315"/>
                  <wp:effectExtent l="0" t="0" r="0" b="0"/>
                  <wp:docPr id="6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25" t="-32" r="-25" b="-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917700" cy="1917700"/>
                  <wp:effectExtent l="0" t="0" r="0" b="0"/>
                  <wp:docPr id="7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9" t="-29" r="-29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91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5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петлю для стеклянной дверцы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Угол открывания 1800. Толщина стекла до 5мм. Должна выдерживать вес до 20кг.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Крепление к мебели шурупами. Декоративное покрытие.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Объем выпуска, шт/мес.</w:t>
      </w:r>
      <w:r>
        <w:rPr/>
        <w:t xml:space="preserve">: 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3391535" cy="1977390"/>
                  <wp:effectExtent l="0" t="0" r="0" b="0"/>
                  <wp:docPr id="8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75" t="13920" r="-75" b="117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1535" cy="197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547620" cy="2080260"/>
                  <wp:effectExtent l="0" t="0" r="0" b="0"/>
                  <wp:docPr id="9" name="Image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8" t="-9" r="-8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620" cy="208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6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колесо опорное с тормозом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Нагрузка до 100кг. Поворот вокруг вертикальной оси на 360о. Тормоз должен четко фиксировать колесо от поворота.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Обод колеса должен иметь защитное покрытие для защиты пола. Крепление к мебели фланцевое, шурупами.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Объем выпуска, шт/мес.</w:t>
      </w:r>
      <w:r>
        <w:rPr/>
        <w:t xml:space="preserve">: 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286635" cy="1809750"/>
                  <wp:effectExtent l="0" t="0" r="0" b="0"/>
                  <wp:docPr id="10" name="Image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5" t="-31" r="-25" b="-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63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7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магнитную защелку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Должна удерживать до 5кг. Минимальные размеры.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Крепление шурупами. Надежная фиксация ответной части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20000</w:t>
      </w:r>
    </w:p>
    <w:tbl>
      <w:tblPr>
        <w:tblW w:w="1056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9250"/>
      </w:tblGrid>
      <w:tr>
        <w:trPr/>
        <w:tc>
          <w:tcPr>
            <w:tcW w:w="1312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50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2178050" cy="1873885"/>
                  <wp:effectExtent l="0" t="0" r="0" b="0"/>
                  <wp:docPr id="11" name="Image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3360" t="20866" r="25886" b="35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87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3557905" cy="1816100"/>
                  <wp:effectExtent l="0" t="0" r="0" b="0"/>
                  <wp:docPr id="12" name="Image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-9" t="-17" r="-9" b="-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905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8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петлю мебельную для стекла.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 Толщина стекла от 3,5 до 6 мм, диаметр чашки 26 мм, глубина 11,5 мм. Нагрузка до 20 кг.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 декоративное покрытие под серебро или золото. Заглушки из пластика.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5177790" cy="2429510"/>
                  <wp:effectExtent l="0" t="0" r="0" b="0"/>
                  <wp:docPr id="13" name="Image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-9" t="-20" r="-9" b="-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7790" cy="242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4252595" cy="1518920"/>
                  <wp:effectExtent l="0" t="0" r="0" b="0"/>
                  <wp:docPr id="14" name="Image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-8" t="-21" r="-8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2595" cy="151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9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штангу для одежды выдвижную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Ход 250…370мм. Нагрузка до 50кг. Ролики для обеспечения плавности хода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износостойкое покрытие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Объем выпуска, шт/мес.</w:t>
      </w:r>
      <w:r>
        <w:rPr/>
        <w:t xml:space="preserve">: 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3686810" cy="3157220"/>
                  <wp:effectExtent l="0" t="0" r="0" b="0"/>
                  <wp:docPr id="15" name="Image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-12" t="-14" r="-12" b="-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810" cy="315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10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4"/>
          <w:szCs w:val="24"/>
        </w:rPr>
        <w:t>НА ЛАБОРАТОРНЫЕ РАБОТЫ</w:t>
      </w:r>
      <w:r>
        <w:rPr>
          <w:szCs w:val="28"/>
        </w:rPr>
        <w:t xml:space="preserve"> 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дверной шариковый фиксатор.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Минимальная толщина двери 2 см. Малое усилие открытия двери, надежная фиксация.Крепление винтами, механизм защелки – шариковый.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Декоративной покрытие.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3195955" cy="2619375"/>
                  <wp:effectExtent l="0" t="0" r="0" b="0"/>
                  <wp:docPr id="16" name="Image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-15" t="-19" r="-15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955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11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держатель для зеркала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Обеспечивает крепление зеркала к вертикальной поверхности. Нагрузка до 50кг. Толщина зеркала до 8мм.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антикоррозийное покрытие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245"/>
        <w:gridCol w:w="4418"/>
      </w:tblGrid>
      <w:tr>
        <w:trPr>
          <w:trHeight w:val="2205" w:hRule="atLeast"/>
        </w:trPr>
        <w:tc>
          <w:tcPr>
            <w:tcW w:w="1526" w:type="dxa"/>
            <w:vMerge w:val="restart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4245" w:type="dxa"/>
            <w:vMerge w:val="restart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905000" cy="2838450"/>
                  <wp:effectExtent l="0" t="0" r="0" b="0"/>
                  <wp:docPr id="17" name="Image16" descr="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6" descr="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-19" t="-13" r="-19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8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656715" cy="916940"/>
                  <wp:effectExtent l="0" t="0" r="0" b="0"/>
                  <wp:docPr id="18" name="Image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-33" t="28899" r="-33" b="29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715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65" w:hRule="atLeast"/>
        </w:trPr>
        <w:tc>
          <w:tcPr>
            <w:tcW w:w="152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ind w:hanging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</w:tc>
        <w:tc>
          <w:tcPr>
            <w:tcW w:w="4245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4"/>
                <w:szCs w:val="24"/>
                <w:u w:val="single"/>
                <w:lang w:val="en-US" w:eastAsia="en-US"/>
              </w:rPr>
            </w:pPr>
            <w:r>
              <w:rPr>
                <w:sz w:val="24"/>
                <w:szCs w:val="24"/>
                <w:u w:val="single"/>
                <w:lang w:val="en-US" w:eastAsia="en-US"/>
              </w:rPr>
            </w:r>
          </w:p>
        </w:tc>
        <w:tc>
          <w:tcPr>
            <w:tcW w:w="4418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1694815" cy="1145540"/>
                  <wp:effectExtent l="0" t="0" r="0" b="0"/>
                  <wp:docPr id="19" name="Image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-33" t="20509" r="-33" b="28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1145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12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полку для дисков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 xml:space="preserve">Обеспечивает пазмещение до 30 дисков, возможно настольное размещение и крепление к вертикальной поверхности. Нагрузка до 10кг.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покрытие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1753870" cy="2879725"/>
                  <wp:effectExtent l="0" t="0" r="0" b="0"/>
                  <wp:docPr id="20" name="Image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-17" t="-10" r="-17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70" cy="287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13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карниз для штор.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Основные условия:</w:t>
      </w:r>
      <w:r>
        <w:rPr>
          <w:sz w:val="24"/>
          <w:szCs w:val="24"/>
          <w:lang w:val="en-US" w:eastAsia="en-US"/>
        </w:rPr>
        <w:t xml:space="preserve"> Крепление к вертикальной поверхности. Нагрузка до 50кг.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антикоррозийное покрытие, возможность смены наконечников.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15000</w:t>
      </w:r>
    </w:p>
    <w:tbl>
      <w:tblPr>
        <w:tblW w:w="10189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663"/>
      </w:tblGrid>
      <w:tr>
        <w:trPr/>
        <w:tc>
          <w:tcPr>
            <w:tcW w:w="152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66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536825" cy="2932430"/>
                  <wp:effectExtent l="0" t="0" r="0" b="0"/>
                  <wp:docPr id="21" name="Image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-10" t="-9" r="-10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293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14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врезную дверную защелку.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 универсальность, крепление шурупами, минимальная толщина двери – 2 см, износостойкость язычка, максамальная нагрузка на механизм – 20 кг.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Декоративное антикоррозийное покрытие</w:t>
      </w:r>
      <w:r>
        <w:rPr>
          <w:sz w:val="24"/>
          <w:szCs w:val="24"/>
        </w:rPr>
        <w:t xml:space="preserve"> 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  <w:u w:val="single"/>
        </w:rPr>
        <w:t>Объем выпуска, шт/мес.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10000</w:t>
      </w:r>
    </w:p>
    <w:tbl>
      <w:tblPr>
        <w:tblW w:w="10189" w:type="dxa"/>
        <w:jc w:val="left"/>
        <w:tblInd w:w="-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8813"/>
      </w:tblGrid>
      <w:tr>
        <w:trPr/>
        <w:tc>
          <w:tcPr>
            <w:tcW w:w="1376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8813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976245" cy="2872740"/>
                  <wp:effectExtent l="0" t="0" r="0" b="0"/>
                  <wp:docPr id="22" name="Image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-5" t="-5" r="-5" b="-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245" cy="287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15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подставку для компьютера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Нагрузка до 50кг. Регулируемая высота: от 83мм до 184мм. 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 xml:space="preserve">: </w:t>
      </w:r>
      <w:r>
        <w:rPr/>
        <w:t>20000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381250" cy="2381250"/>
                  <wp:effectExtent l="0" t="0" r="0" b="0"/>
                  <wp:docPr id="23" name="Image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-15" t="-15" r="-15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2784475" cy="2781300"/>
                  <wp:effectExtent l="0" t="0" r="0" b="0"/>
                  <wp:docPr id="24" name="Image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19423" t="14731" r="16109" b="20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475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16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лифт-пантограф для вешалок к секции 450-600 мм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Нагрузка до 50кг. Крепление к вертикальной поверхности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25</w:t>
      </w:r>
      <w:r>
        <w:rPr/>
        <w:t>000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238375" cy="3312160"/>
                  <wp:effectExtent l="0" t="0" r="0" b="0"/>
                  <wp:docPr id="25" name="Image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18373" t="7382" r="21719" b="3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331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2691765" cy="2691765"/>
                  <wp:effectExtent l="0" t="0" r="0" b="0"/>
                  <wp:docPr id="26" name="Image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-10" t="-10" r="-10" b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765" cy="2691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17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сушку напольную для белья.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Нагрузка до 20кг. 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50</w:t>
      </w:r>
      <w:r>
        <w:rPr/>
        <w:t>000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486025" cy="2909570"/>
                  <wp:effectExtent l="0" t="0" r="0" b="0"/>
                  <wp:docPr id="27" name="Image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12019" t="4029" r="11150" b="60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90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1993900" cy="2800350"/>
                  <wp:effectExtent l="0" t="0" r="0" b="0"/>
                  <wp:docPr id="28" name="Image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15755" t="2353" r="16447" b="1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18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у</w:t>
      </w:r>
      <w:r>
        <w:rPr>
          <w:sz w:val="24"/>
          <w:szCs w:val="24"/>
        </w:rPr>
        <w:t>ниверсальное настенное крепление для LCD телевизоров и плазменных панелей.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Нагрузка до 90кг. Крепление к вертикальной поверхности, </w:t>
      </w:r>
      <w:r>
        <w:rPr>
          <w:sz w:val="24"/>
          <w:szCs w:val="24"/>
        </w:rPr>
        <w:t>горизонтальная регулировка, наклон ±15°, расстояние от стены 7,6 см. Максимальное расстояние между крепежными отверстиями экрана по меняющемуся размеру: до 91,5 см. по горизонтали, 50,3 см. по вертикали.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 xml:space="preserve">: </w:t>
      </w:r>
      <w:r>
        <w:rPr/>
        <w:t>25000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2838450" cy="1941195"/>
                  <wp:effectExtent l="0" t="0" r="0" b="0"/>
                  <wp:docPr id="29" name="Image2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2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 l="-13" t="22820" r="-13" b="-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94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1971675" cy="1666875"/>
                  <wp:effectExtent l="0" t="0" r="0" b="0"/>
                  <wp:docPr id="30" name="Image2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-18" t="-22" r="-18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4191000" cy="1866900"/>
                  <wp:effectExtent l="0" t="0" r="0" b="0"/>
                  <wp:docPr id="31" name="Image3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3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-9" t="-19" r="-9" b="-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19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светильник направленного света (спот)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крепление к вертикальной поверхности и потолку, шарнирный механизм поворота плафона, возможность поворота в нескольких проскостях  на угол 150º.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15</w:t>
      </w:r>
      <w:r>
        <w:rPr/>
        <w:t>000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1918335" cy="1918335"/>
                  <wp:effectExtent l="0" t="0" r="0" b="0"/>
                  <wp:docPr id="32" name="Image3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l="-22" t="-22" r="-22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191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1951355" cy="1951355"/>
                  <wp:effectExtent l="0" t="0" r="0" b="0"/>
                  <wp:docPr id="33" name="Image3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3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 l="-22" t="-22" r="-22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355" cy="195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20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держатель для зубных щеток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Разборная конструкция, учтойчивое основание, на 4 щетки.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Декоративное покрытие,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25000.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0" distR="0">
                  <wp:extent cx="1395095" cy="2319020"/>
                  <wp:effectExtent l="0" t="0" r="0" b="0"/>
                  <wp:docPr id="34" name="Image3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 l="22088" t="4248" r="23116" b="4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095" cy="231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drawing>
                <wp:inline distT="0" distB="0" distL="0" distR="0">
                  <wp:extent cx="2857500" cy="2286000"/>
                  <wp:effectExtent l="0" t="0" r="0" b="0"/>
                  <wp:docPr id="35" name="Image3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3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 l="-13" t="-16" r="-13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21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ручной поршневой насос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Разборная конструкция, выдерживать давление до 5 атм.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25000.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1342390" cy="2566670"/>
                  <wp:effectExtent l="0" t="0" r="0" b="0"/>
                  <wp:docPr id="36" name="Image3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3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 l="-22" t="-16" r="25199" b="-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256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 w:ascii="Arial" w:hAnsi="Arial"/>
                <w:color w:val="000000"/>
                <w:sz w:val="19"/>
                <w:szCs w:val="19"/>
              </w:rPr>
              <w:t xml:space="preserve"> </w:t>
            </w: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2339340" cy="1697990"/>
                  <wp:effectExtent l="0" t="0" r="0" b="0"/>
                  <wp:docPr id="37" name="Image3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3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 l="-7" t="-9" r="-7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22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резак для бумаги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Одновременное разрезание до 10 листов бумаги.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10000.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snapToGrid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3774440" cy="2940685"/>
                  <wp:effectExtent l="0" t="0" r="0" b="0"/>
                  <wp:docPr id="38" name="Image3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 l="-6" t="-7" r="-6" b="-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4440" cy="294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23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инструмент «третья рука для пайки»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Выдерживать вес деталей до 500 г.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15000.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2926080" cy="2926080"/>
                  <wp:effectExtent l="0" t="0" r="0" b="0"/>
                  <wp:docPr id="39" name="Image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 l="-6" t="-6" r="-6" b="-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292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24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тиски настольные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Обеспечить зажим детали длиной до 15 см.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5000.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2666365" cy="2666365"/>
                  <wp:effectExtent l="0" t="0" r="0" b="0"/>
                  <wp:docPr id="40" name="Image3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 l="-13" t="-13" r="-13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6365" cy="266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МИНОБРНАУКИ РОССИИ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ФГБОУ ВО Тульский государственный университет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прикладной математики и компьютерных наук</w:t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Кафедра "Вычислительная техника"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/>
      </w:pPr>
      <w:r>
        <w:rPr>
          <w:sz w:val="24"/>
          <w:szCs w:val="24"/>
        </w:rPr>
        <w:t>Курс "Автоматизация конструкторского и технологического проектирования"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ЗАДАНИЕ № </w:t>
      </w:r>
      <w:r>
        <w:rPr>
          <w:sz w:val="24"/>
          <w:szCs w:val="24"/>
          <w:lang w:val="en-US" w:eastAsia="en-US"/>
        </w:rPr>
        <w:t>25</w:t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  <w:t>НА ЛАБОРАТОРНЫЕ РАБОТЫ</w:t>
      </w:r>
    </w:p>
    <w:p>
      <w:pPr>
        <w:pStyle w:val="Normal"/>
        <w:ind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Техническое задание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 w:eastAsia="en-US"/>
        </w:rPr>
        <w:t>Спроектировать струбцину</w:t>
      </w:r>
      <w:r>
        <w:rPr>
          <w:sz w:val="24"/>
          <w:szCs w:val="24"/>
        </w:rPr>
        <w:t>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</w:rPr>
        <w:t>Основные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Обеспечить зажим детали толщиной до 5 см.</w:t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>Дополнительные условия</w:t>
      </w:r>
      <w:r>
        <w:rPr>
          <w:sz w:val="24"/>
          <w:szCs w:val="24"/>
        </w:rPr>
        <w:t>:</w:t>
      </w:r>
      <w:r>
        <w:rPr>
          <w:sz w:val="24"/>
          <w:szCs w:val="24"/>
          <w:lang w:val="en-US" w:eastAsia="en-US"/>
        </w:rPr>
        <w:t xml:space="preserve"> Надежная конструкция.</w:t>
      </w:r>
    </w:p>
    <w:p>
      <w:pPr>
        <w:pStyle w:val="Normal"/>
        <w:ind w:hanging="0"/>
        <w:rPr>
          <w:sz w:val="24"/>
          <w:szCs w:val="24"/>
          <w:lang w:val="en-US" w:eastAsia="en-US"/>
        </w:rPr>
      </w:pPr>
      <w:r>
        <w:rPr>
          <w:sz w:val="24"/>
          <w:szCs w:val="24"/>
          <w:u w:val="single"/>
          <w:lang w:val="en-US" w:eastAsia="en-US"/>
        </w:rPr>
        <w:t>Объем выпуска, шт/мес.</w:t>
      </w:r>
      <w:r>
        <w:rPr>
          <w:sz w:val="24"/>
          <w:szCs w:val="24"/>
          <w:lang w:val="en-US" w:eastAsia="en-US"/>
        </w:rPr>
        <w:t>: 12500.</w:t>
      </w:r>
    </w:p>
    <w:tbl>
      <w:tblPr>
        <w:tblW w:w="1071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215"/>
      </w:tblGrid>
      <w:tr>
        <w:trPr/>
        <w:tc>
          <w:tcPr>
            <w:tcW w:w="1495" w:type="dxa"/>
            <w:tcBorders/>
            <w:vAlign w:val="center"/>
          </w:tcPr>
          <w:p>
            <w:pPr>
              <w:pStyle w:val="Normal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Известные аналоги:</w:t>
            </w:r>
          </w:p>
        </w:tc>
        <w:tc>
          <w:tcPr>
            <w:tcW w:w="9215" w:type="dxa"/>
            <w:tcBorders/>
            <w:vAlign w:val="center"/>
          </w:tcPr>
          <w:p>
            <w:pPr>
              <w:pStyle w:val="Normal"/>
              <w:ind w:hanging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19"/>
                <w:szCs w:val="19"/>
              </w:rPr>
              <w:drawing>
                <wp:inline distT="0" distB="0" distL="0" distR="0">
                  <wp:extent cx="2710180" cy="2029460"/>
                  <wp:effectExtent l="0" t="0" r="0" b="0"/>
                  <wp:docPr id="41" name="Image4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4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 l="-6" t="-8" r="-6" b="-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180" cy="20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/>
      </w:pPr>
      <w:r>
        <w:rPr>
          <w:sz w:val="24"/>
          <w:szCs w:val="24"/>
          <w:u w:val="single"/>
        </w:rPr>
        <w:t xml:space="preserve">Содержание </w:t>
      </w:r>
      <w:r>
        <w:rPr>
          <w:sz w:val="24"/>
          <w:szCs w:val="24"/>
        </w:rPr>
        <w:t>:</w:t>
      </w:r>
    </w:p>
    <w:p>
      <w:pPr>
        <w:pStyle w:val="Normal"/>
        <w:ind w:hanging="0"/>
        <w:rPr/>
      </w:pPr>
      <w:r>
        <w:rPr>
          <w:sz w:val="24"/>
          <w:szCs w:val="24"/>
        </w:rPr>
        <w:t>1. Разработка 3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сборки объекта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  <w:t>2. Разработка КД (конструкторской документации: чертежи на каждую деталь и сборку со всеми необходимыми размерами)</w:t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2240" w:h="15840"/>
      <w:pgMar w:left="1418" w:right="851" w:header="0" w:top="567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  <w:rPr>
        <w:b w:val="false"/>
      </w:rPr>
    </w:lvl>
    <w:lvl w:ilvl="2">
      <w:start w:val="1"/>
      <w:pStyle w:val="Heading3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6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ind w:firstLine="709"/>
      <w:jc w:val="both"/>
    </w:pPr>
    <w:rPr>
      <w:rFonts w:ascii="Times New Roman" w:hAnsi="Times New Roman" w:eastAsia="Times New Roman" w:cs="Times New Roman"/>
      <w:color w:val="auto"/>
      <w:sz w:val="28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jc w:val="center"/>
      <w:outlineLvl w:val="0"/>
    </w:pPr>
    <w:rPr>
      <w:rFonts w:ascii="Arial" w:hAnsi="Arial" w:cs="Arial"/>
      <w:b/>
      <w:caps/>
      <w:sz w:val="24"/>
      <w:szCs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rFonts w:ascii="Arial" w:hAnsi="Arial" w:cs="Arial"/>
      <w:bCs/>
      <w:iCs/>
      <w:sz w:val="24"/>
      <w:szCs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4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lang w:val="ru-RU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>
      <w:b w:val="false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rFonts w:ascii="Arial" w:hAnsi="Arial" w:cs="Arial"/>
      <w:sz w:val="24"/>
      <w:szCs w:val="24"/>
    </w:rPr>
  </w:style>
  <w:style w:type="character" w:styleId="WW8Num4z0">
    <w:name w:val="WW8Num4z0"/>
    <w:qFormat/>
    <w:rPr/>
  </w:style>
  <w:style w:type="character" w:styleId="Style10">
    <w:name w:val="Основной шрифт абзаца"/>
    <w:qFormat/>
    <w:rPr/>
  </w:style>
  <w:style w:type="character" w:styleId="PageNumber">
    <w:name w:val="Page Number"/>
    <w:rPr>
      <w:rFonts w:ascii="Arial" w:hAnsi="Arial" w:cs="Arial"/>
      <w:sz w:val="20"/>
    </w:rPr>
  </w:style>
  <w:style w:type="character" w:styleId="InternetLink">
    <w:name w:val="Hyperlink"/>
    <w:rPr>
      <w:rFonts w:ascii="Times New Roman" w:hAnsi="Times New Roman" w:cs="Times New Roman"/>
      <w:b/>
      <w:color w:val="0000FF"/>
      <w:sz w:val="24"/>
      <w:u w:val="none"/>
    </w:rPr>
  </w:style>
  <w:style w:type="paragraph" w:styleId="Heading">
    <w:name w:val="Heading"/>
    <w:basedOn w:val="Normal"/>
    <w:next w:val="TextBody"/>
    <w:qFormat/>
    <w:pPr>
      <w:ind w:hanging="0"/>
      <w:jc w:val="center"/>
    </w:pPr>
    <w:rPr>
      <w:rFonts w:ascii="Arial" w:hAnsi="Arial" w:cs="Arial"/>
      <w:lang w:val="ru-RU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eastAsia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eastAsia="DejaVu Sans"/>
    </w:rPr>
  </w:style>
  <w:style w:type="paragraph" w:styleId="Style11">
    <w:name w:val="Рисунок"/>
    <w:basedOn w:val="Normal"/>
    <w:next w:val="Style13"/>
    <w:qFormat/>
    <w:pPr>
      <w:keepNext w:val="true"/>
      <w:ind w:hanging="0"/>
      <w:jc w:val="center"/>
    </w:pPr>
    <w:rPr>
      <w:sz w:val="28"/>
      <w:lang w:val="ru-RU"/>
    </w:rPr>
  </w:style>
  <w:style w:type="paragraph" w:styleId="Style12">
    <w:name w:val="Эпиграф"/>
    <w:basedOn w:val="Normal"/>
    <w:next w:val="Normal"/>
    <w:qFormat/>
    <w:pPr>
      <w:spacing w:lineRule="auto" w:line="240"/>
      <w:ind w:hanging="0"/>
      <w:jc w:val="right"/>
    </w:pPr>
    <w:rPr>
      <w:rFonts w:ascii="Arial" w:hAnsi="Arial" w:cs="Arial"/>
      <w:i/>
      <w:sz w:val="20"/>
      <w:lang w:val="ru-RU"/>
    </w:rPr>
  </w:style>
  <w:style w:type="paragraph" w:styleId="10px0px">
    <w:name w:val="Стиль Заголовок 1 + по ширине Слева:  0 px Первая строка:  0 px"/>
    <w:basedOn w:val="Heading1"/>
    <w:qFormat/>
    <w:pPr>
      <w:numPr>
        <w:ilvl w:val="0"/>
        <w:numId w:val="0"/>
      </w:numPr>
      <w:ind w:hanging="0"/>
      <w:jc w:val="both"/>
    </w:pPr>
    <w:rPr>
      <w:sz w:val="28"/>
      <w:szCs w:val="20"/>
    </w:rPr>
  </w:style>
  <w:style w:type="paragraph" w:styleId="10px0px1">
    <w:name w:val="Стиль Заголовок 1 + по ширине Слева:  0 px Первая строка:  0 px1"/>
    <w:basedOn w:val="Heading1"/>
    <w:qFormat/>
    <w:pPr>
      <w:numPr>
        <w:ilvl w:val="0"/>
        <w:numId w:val="0"/>
      </w:numPr>
      <w:ind w:hanging="0"/>
      <w:jc w:val="both"/>
    </w:pPr>
    <w:rPr>
      <w:sz w:val="28"/>
      <w:szCs w:val="20"/>
    </w:rPr>
  </w:style>
  <w:style w:type="paragraph" w:styleId="2">
    <w:name w:val="Стиль Заголовок 2 + не курсив"/>
    <w:basedOn w:val="Heading2"/>
    <w:qFormat/>
    <w:pPr>
      <w:numPr>
        <w:ilvl w:val="0"/>
        <w:numId w:val="0"/>
      </w:numPr>
      <w:ind w:firstLine="709"/>
    </w:pPr>
    <w:rPr>
      <w:iCs w:val="false"/>
    </w:rPr>
  </w:style>
  <w:style w:type="paragraph" w:styleId="Index1">
    <w:name w:val="Index 1"/>
    <w:basedOn w:val="Normal"/>
    <w:next w:val="Normal"/>
    <w:pPr>
      <w:spacing w:lineRule="auto" w:line="240"/>
      <w:ind w:left="285" w:hanging="285"/>
    </w:pPr>
    <w:rPr>
      <w:sz w:val="24"/>
    </w:rPr>
  </w:style>
  <w:style w:type="paragraph" w:styleId="Style13">
    <w:name w:val="Название объекта"/>
    <w:basedOn w:val="Normal"/>
    <w:next w:val="Normal"/>
    <w:qFormat/>
    <w:pPr>
      <w:ind w:hanging="0"/>
      <w:jc w:val="center"/>
    </w:pPr>
    <w:rPr>
      <w:bCs/>
    </w:rPr>
  </w:style>
  <w:style w:type="paragraph" w:styleId="Style14">
    <w:name w:val="Стиль Название объекта + по центру"/>
    <w:basedOn w:val="Style13"/>
    <w:qFormat/>
    <w:pPr>
      <w:spacing w:lineRule="auto" w:line="240" w:before="0" w:after="0"/>
      <w:ind w:hanging="0"/>
      <w:jc w:val="center"/>
    </w:pPr>
    <w:rPr>
      <w:b/>
      <w:sz w:val="24"/>
      <w:szCs w:val="24"/>
      <w:lang w:val="ru-RU"/>
    </w:rPr>
  </w:style>
  <w:style w:type="paragraph" w:styleId="1">
    <w:name w:val="Стиль Название объекта + по центру1"/>
    <w:basedOn w:val="Style13"/>
    <w:qFormat/>
    <w:pPr>
      <w:spacing w:before="0" w:after="0"/>
      <w:ind w:hanging="0"/>
      <w:jc w:val="center"/>
    </w:pPr>
    <w:rPr>
      <w:b/>
      <w:sz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hyperlink" Target="javascript:;" TargetMode="External"/><Relationship Id="rId19" Type="http://schemas.openxmlformats.org/officeDocument/2006/relationships/image" Target="media/image17.jpeg"/><Relationship Id="rId20" Type="http://schemas.openxmlformats.org/officeDocument/2006/relationships/image" Target="media/image18.jpeg"/><Relationship Id="rId21" Type="http://schemas.openxmlformats.org/officeDocument/2006/relationships/image" Target="media/image19.jpeg"/><Relationship Id="rId22" Type="http://schemas.openxmlformats.org/officeDocument/2006/relationships/image" Target="media/image20.jpeg"/><Relationship Id="rId23" Type="http://schemas.openxmlformats.org/officeDocument/2006/relationships/image" Target="media/image21.jpeg"/><Relationship Id="rId24" Type="http://schemas.openxmlformats.org/officeDocument/2006/relationships/image" Target="media/image22.png"/><Relationship Id="rId25" Type="http://schemas.openxmlformats.org/officeDocument/2006/relationships/image" Target="media/image23.jpeg"/><Relationship Id="rId26" Type="http://schemas.openxmlformats.org/officeDocument/2006/relationships/image" Target="media/image24.jpeg"/><Relationship Id="rId27" Type="http://schemas.openxmlformats.org/officeDocument/2006/relationships/image" Target="media/image25.jpeg"/><Relationship Id="rId28" Type="http://schemas.openxmlformats.org/officeDocument/2006/relationships/image" Target="media/image26.jpeg"/><Relationship Id="rId29" Type="http://schemas.openxmlformats.org/officeDocument/2006/relationships/image" Target="media/image27.jpeg"/><Relationship Id="rId30" Type="http://schemas.openxmlformats.org/officeDocument/2006/relationships/image" Target="media/image28.png"/><Relationship Id="rId31" Type="http://schemas.openxmlformats.org/officeDocument/2006/relationships/image" Target="media/image29.jpeg"/><Relationship Id="rId32" Type="http://schemas.openxmlformats.org/officeDocument/2006/relationships/image" Target="media/image30.png"/><Relationship Id="rId33" Type="http://schemas.openxmlformats.org/officeDocument/2006/relationships/image" Target="media/image31.jpeg"/><Relationship Id="rId34" Type="http://schemas.openxmlformats.org/officeDocument/2006/relationships/image" Target="media/image32.png"/><Relationship Id="rId35" Type="http://schemas.openxmlformats.org/officeDocument/2006/relationships/image" Target="media/image33.jpeg"/><Relationship Id="rId36" Type="http://schemas.openxmlformats.org/officeDocument/2006/relationships/image" Target="media/image34.jpeg"/><Relationship Id="rId37" Type="http://schemas.openxmlformats.org/officeDocument/2006/relationships/image" Target="media/image35.jpeg"/><Relationship Id="rId38" Type="http://schemas.openxmlformats.org/officeDocument/2006/relationships/image" Target="media/image36.jpeg"/><Relationship Id="rId39" Type="http://schemas.openxmlformats.org/officeDocument/2006/relationships/image" Target="media/image37.jpeg"/><Relationship Id="rId40" Type="http://schemas.openxmlformats.org/officeDocument/2006/relationships/image" Target="media/image38.jpeg"/><Relationship Id="rId41" Type="http://schemas.openxmlformats.org/officeDocument/2006/relationships/image" Target="media/image39.jpeg"/><Relationship Id="rId42" Type="http://schemas.openxmlformats.org/officeDocument/2006/relationships/image" Target="media/image40.jpeg"/><Relationship Id="rId43" Type="http://schemas.openxmlformats.org/officeDocument/2006/relationships/numbering" Target="numbering.xml"/><Relationship Id="rId44" Type="http://schemas.openxmlformats.org/officeDocument/2006/relationships/fontTable" Target="fontTable.xml"/><Relationship Id="rId4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LibreOffice/7.0.6.2$Linux_X86_64 LibreOffice_project/00$Build-2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2020-07-24T14:20:00Z</dcterms:created>
  <dc:creator>troitsky</dc:creator>
  <dc:description/>
  <dc:language>en-US</dc:language>
  <cp:lastModifiedBy>User</cp:lastModifiedBy>
  <cp:lastPrinted>2009-08-31T11:05:00Z</cp:lastPrinted>
  <dcterms:modified xsi:type="dcterms:W3CDTF">2020-07-24T14:20:00Z</dcterms:modified>
  <cp:revision>2</cp:revision>
  <dc:subject/>
  <dc:title>Федеральное агентство по образованию</dc:title>
</cp:coreProperties>
</file>