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68E" w:rsidRPr="00E7068E" w:rsidRDefault="00E7068E" w:rsidP="00E7068E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E7068E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Введение</w:t>
      </w:r>
    </w:p>
    <w:p w:rsidR="00E7068E" w:rsidRPr="00E7068E" w:rsidRDefault="00E7068E" w:rsidP="00E7068E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Промышленные и гражданские здания как в процессе проектирования, так и в процессе эксплуатации необходимо рассматривать в неразрывной связи с окружающей средой, как элемент, находящийся под непрерывным влиянием множества природных и хозяйственных факторов. Поэтому обоснованный выбор ограждающих конструкций здания, систем отопления, вентиляции и кондиционирования воздуха должен быть направлен прежде всего на создание микроклимата и воздушной среды помещения, в наибольшей степени отвечающих здоровому образу жизни человека.</w:t>
      </w:r>
    </w:p>
    <w:p w:rsidR="00E7068E" w:rsidRPr="00E7068E" w:rsidRDefault="00E7068E" w:rsidP="00E7068E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микроклимата зданий зависит от многих факторов, главными из которых являются взаимодействие ограждения с внутренней и наружной средами, тепло- и массообменные процессы при контакте воздуха вентиляционных систем и помещений, характеристики наружного климата и законы их изменения. Следовательно, успешной работе по расчету, организации и регулированию микроклимата помещения должны предшествовать знания из климатологии, термодинамики влажного воздуха, теплопередачи, теории тепло- и </w:t>
      </w:r>
      <w:proofErr w:type="spellStart"/>
      <w:proofErr w:type="gramStart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массообмена</w:t>
      </w:r>
      <w:proofErr w:type="spellEnd"/>
      <w:proofErr w:type="gram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</w:t>
      </w:r>
    </w:p>
    <w:p w:rsidR="00E7068E" w:rsidRDefault="00E7068E" w:rsidP="00E7068E">
      <w:pPr>
        <w:pStyle w:val="1"/>
        <w:shd w:val="clear" w:color="auto" w:fill="1874CD"/>
        <w:spacing w:after="300" w:afterAutospacing="0"/>
        <w:jc w:val="both"/>
        <w:rPr>
          <w:rFonts w:ascii="Arial" w:hAnsi="Arial" w:cs="Arial"/>
          <w:color w:val="FFFFFF"/>
          <w:sz w:val="36"/>
          <w:szCs w:val="36"/>
        </w:rPr>
      </w:pPr>
      <w:r>
        <w:rPr>
          <w:rFonts w:ascii="Arial" w:hAnsi="Arial" w:cs="Arial"/>
          <w:color w:val="FFFFFF"/>
          <w:sz w:val="36"/>
          <w:szCs w:val="36"/>
        </w:rPr>
        <w:t>1. Оценка теплового комфорта в помещении в холодный период года</w:t>
      </w:r>
    </w:p>
    <w:p w:rsidR="00E7068E" w:rsidRDefault="00E7068E" w:rsidP="00E7068E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Комфортное самочувствие человека, при котором он не ощущает перегрева или переохлаждение своего организма, в первую очередь определяется температурной обстановкой в помещении. При этом важную роль играет расположение человека относительно переохлажденных (окна, фонари и т.д.) и нагретых (отопительные приборы, печи и т.д.) поверхностей. Часто именно за счет рационального размещения рабочих мест достигается хорошее самочувствие человека, так как изменить конструкцию и температуру поверхности ограждения или оборудования не всегда возможно. В связи с этим необходимо уметь оценить самочувствие человека в той или иной точке помещения.</w:t>
      </w:r>
    </w:p>
    <w:p w:rsidR="00C37234" w:rsidRDefault="00E7068E">
      <w:r>
        <w:rPr>
          <w:noProof/>
          <w:lang w:eastAsia="ru-RU"/>
        </w:rPr>
        <w:drawing>
          <wp:inline distT="0" distB="0" distL="0" distR="0" wp14:anchorId="181ABF06" wp14:editId="20F20927">
            <wp:extent cx="5048250" cy="3105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Pr="00E7068E" w:rsidRDefault="00E7068E" w:rsidP="00E7068E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Температурная обстановка характеризуется двумя условиями комфортности. Первое условие определяет допустимое сочетание радиационной температуры в помещении </w:t>
      </w:r>
      <w:proofErr w:type="spellStart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R</w:t>
      </w:r>
      <w:proofErr w:type="spell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proofErr w:type="spellStart"/>
      <w:r w:rsidRPr="00E7068E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о</w:t>
      </w: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spell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температуры воздуха </w:t>
      </w:r>
      <w:proofErr w:type="spellStart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proofErr w:type="spellStart"/>
      <w:r w:rsidRPr="00E7068E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о</w:t>
      </w: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spell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выражаемое для холодного периода зависимостью</w:t>
      </w:r>
    </w:p>
    <w:p w:rsidR="00E7068E" w:rsidRPr="00E7068E" w:rsidRDefault="00E7068E" w:rsidP="00E70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t</w:t>
      </w:r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R</w:t>
      </w:r>
      <w:proofErr w:type="spellEnd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 </w:t>
      </w: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= 1,57 </w:t>
      </w:r>
      <w:proofErr w:type="spellStart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П</w:t>
      </w:r>
      <w:proofErr w:type="spell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0,57 </w:t>
      </w:r>
      <w:proofErr w:type="spellStart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 </w:t>
      </w: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± 1,</w:t>
      </w:r>
      <w:proofErr w:type="gramStart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5 ,</w:t>
      </w:r>
      <w:proofErr w:type="gramEnd"/>
    </w:p>
    <w:p w:rsidR="00E7068E" w:rsidRPr="00E7068E" w:rsidRDefault="00E7068E" w:rsidP="00E7068E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(1.1)</w:t>
      </w:r>
    </w:p>
    <w:p w:rsidR="00E7068E" w:rsidRPr="00E7068E" w:rsidRDefault="00E7068E" w:rsidP="00E7068E">
      <w:pPr>
        <w:spacing w:before="100" w:beforeAutospacing="1"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 </w:t>
      </w:r>
      <w:proofErr w:type="spellStart"/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7068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П</w:t>
      </w:r>
      <w:proofErr w:type="spell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температура помещения, принимается в зависимости от тяжести выполняемой работы, </w:t>
      </w:r>
      <w:proofErr w:type="spellStart"/>
      <w:r w:rsidRPr="00E7068E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о</w:t>
      </w: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spellEnd"/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7068E" w:rsidRPr="00E7068E" w:rsidRDefault="00E7068E" w:rsidP="00E7068E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[2] температура помещения, принимается;</w:t>
      </w:r>
    </w:p>
    <w:p w:rsidR="00E7068E" w:rsidRPr="00E7068E" w:rsidRDefault="00E7068E" w:rsidP="00E7068E">
      <w:pPr>
        <w:numPr>
          <w:ilvl w:val="0"/>
          <w:numId w:val="1"/>
        </w:numPr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холодный период года: для легкой работы – 21 °С; для работы средней тяжести – 18,5 °С; для тяжелой работы – 16 °С;</w:t>
      </w:r>
    </w:p>
    <w:p w:rsidR="00E7068E" w:rsidRPr="00E7068E" w:rsidRDefault="00E7068E" w:rsidP="00E7068E">
      <w:pPr>
        <w:numPr>
          <w:ilvl w:val="0"/>
          <w:numId w:val="1"/>
        </w:numPr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06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теплый период года: для легкой работы – 26 °С; для работы средней тяжести – 24 °С; для тяжелой работы – 22 °С;</w:t>
      </w:r>
    </w:p>
    <w:p w:rsidR="00E7068E" w:rsidRDefault="00E7068E">
      <w:r>
        <w:rPr>
          <w:noProof/>
          <w:lang w:eastAsia="ru-RU"/>
        </w:rPr>
        <w:drawing>
          <wp:inline distT="0" distB="0" distL="0" distR="0" wp14:anchorId="13871056" wp14:editId="41CB21A3">
            <wp:extent cx="5940425" cy="24707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7FE1E1" wp14:editId="16B942F5">
            <wp:extent cx="5781675" cy="4257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Default="00E7068E">
      <w:r>
        <w:rPr>
          <w:noProof/>
          <w:lang w:eastAsia="ru-RU"/>
        </w:rPr>
        <w:lastRenderedPageBreak/>
        <w:drawing>
          <wp:inline distT="0" distB="0" distL="0" distR="0" wp14:anchorId="58978127" wp14:editId="12341B95">
            <wp:extent cx="5940425" cy="30219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5EF02B" wp14:editId="363C0A66">
            <wp:extent cx="5940425" cy="30848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C8B59B" wp14:editId="6032AD99">
            <wp:extent cx="5940425" cy="29705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Default="00E7068E">
      <w:r>
        <w:rPr>
          <w:noProof/>
          <w:lang w:eastAsia="ru-RU"/>
        </w:rPr>
        <w:lastRenderedPageBreak/>
        <w:drawing>
          <wp:inline distT="0" distB="0" distL="0" distR="0" wp14:anchorId="6C0EFE98" wp14:editId="70F38416">
            <wp:extent cx="4667250" cy="4219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Default="00E7068E">
      <w:r>
        <w:rPr>
          <w:noProof/>
          <w:lang w:eastAsia="ru-RU"/>
        </w:rPr>
        <w:drawing>
          <wp:inline distT="0" distB="0" distL="0" distR="0" wp14:anchorId="10F189E6" wp14:editId="544A9E55">
            <wp:extent cx="5753100" cy="400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Default="00E7068E">
      <w:r>
        <w:rPr>
          <w:noProof/>
          <w:lang w:eastAsia="ru-RU"/>
        </w:rPr>
        <w:lastRenderedPageBreak/>
        <w:drawing>
          <wp:inline distT="0" distB="0" distL="0" distR="0" wp14:anchorId="2BAC0052" wp14:editId="04D4B5F8">
            <wp:extent cx="5940425" cy="39274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3EF177" wp14:editId="2A7D4951">
            <wp:extent cx="5940425" cy="235331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40BF52" wp14:editId="0C1AAD0B">
            <wp:extent cx="5940425" cy="55626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Default="00E7068E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5D42326E" wp14:editId="257DF964">
            <wp:extent cx="5940425" cy="3599180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5EC70D" wp14:editId="24F98CBB">
            <wp:extent cx="5940425" cy="34080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Default="00E7068E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BEAEF93" wp14:editId="61A6507D">
            <wp:extent cx="5619750" cy="4171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006C32" wp14:editId="5417830C">
            <wp:extent cx="5940425" cy="359664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8E" w:rsidRDefault="00E7068E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414896A1" wp14:editId="4163AD21">
            <wp:extent cx="5940425" cy="356806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FBF35F" wp14:editId="0A817ECE">
            <wp:extent cx="5940425" cy="34671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Default="00EA4CF9" w:rsidP="00EA4CF9">
      <w:pPr>
        <w:pStyle w:val="1"/>
        <w:shd w:val="clear" w:color="auto" w:fill="1874CD"/>
        <w:spacing w:after="300" w:afterAutospacing="0"/>
        <w:jc w:val="both"/>
        <w:rPr>
          <w:rFonts w:ascii="Arial" w:hAnsi="Arial" w:cs="Arial"/>
          <w:color w:val="FFFFFF"/>
          <w:sz w:val="36"/>
          <w:szCs w:val="36"/>
        </w:rPr>
      </w:pPr>
      <w:r>
        <w:rPr>
          <w:rFonts w:ascii="Arial" w:hAnsi="Arial" w:cs="Arial"/>
          <w:color w:val="FFFFFF"/>
          <w:sz w:val="36"/>
          <w:szCs w:val="36"/>
        </w:rPr>
        <w:t xml:space="preserve">2. Методы оценки </w:t>
      </w:r>
      <w:proofErr w:type="spellStart"/>
      <w:r>
        <w:rPr>
          <w:rFonts w:ascii="Arial" w:hAnsi="Arial" w:cs="Arial"/>
          <w:color w:val="FFFFFF"/>
          <w:sz w:val="36"/>
          <w:szCs w:val="36"/>
        </w:rPr>
        <w:t>теплоощущений</w:t>
      </w:r>
      <w:proofErr w:type="spellEnd"/>
      <w:r>
        <w:rPr>
          <w:rFonts w:ascii="Arial" w:hAnsi="Arial" w:cs="Arial"/>
          <w:color w:val="FFFFFF"/>
          <w:sz w:val="36"/>
          <w:szCs w:val="36"/>
        </w:rPr>
        <w:t xml:space="preserve"> человека</w:t>
      </w:r>
    </w:p>
    <w:p w:rsidR="00EA4CF9" w:rsidRDefault="00EA4CF9" w:rsidP="00EA4CF9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оценке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теплоощущений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человека необходимо учитывать комплексное влияние метеорологических параметров воздуха (температуры воздуха, радиационной температуры, парциального давления водяных паров), а также тяжесть выполняемых работ и термическое сопротивление одежды.</w:t>
      </w:r>
    </w:p>
    <w:p w:rsidR="00EA4CF9" w:rsidRDefault="00EA4CF9" w:rsidP="00EA4CF9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Уравнение теплового баланса человека определяется по формуле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О.Фангера</w:t>
      </w:r>
      <w:proofErr w:type="spellEnd"/>
    </w:p>
    <w:p w:rsidR="00EA4CF9" w:rsidRDefault="00EA4CF9" w:rsidP="00EA4CF9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Δq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= </w:t>
      </w:r>
      <w:r>
        <w:rPr>
          <w:rStyle w:val="form"/>
          <w:i/>
          <w:iCs/>
          <w:color w:val="000000"/>
          <w:sz w:val="26"/>
          <w:szCs w:val="26"/>
        </w:rPr>
        <w:t>М</w:t>
      </w:r>
      <w:r>
        <w:rPr>
          <w:rFonts w:ascii="Arial" w:hAnsi="Arial" w:cs="Arial"/>
          <w:color w:val="000000"/>
          <w:sz w:val="21"/>
          <w:szCs w:val="21"/>
        </w:rPr>
        <w:t>/</w:t>
      </w:r>
      <w:r>
        <w:rPr>
          <w:rStyle w:val="form"/>
          <w:i/>
          <w:iCs/>
          <w:color w:val="000000"/>
          <w:sz w:val="26"/>
          <w:szCs w:val="26"/>
        </w:rPr>
        <w:t>F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Т </w:t>
      </w:r>
      <w:r>
        <w:rPr>
          <w:rFonts w:ascii="Arial" w:hAnsi="Arial" w:cs="Arial"/>
          <w:color w:val="000000"/>
          <w:sz w:val="21"/>
          <w:szCs w:val="21"/>
        </w:rPr>
        <w:t>(1-</w:t>
      </w:r>
      <w:r>
        <w:rPr>
          <w:rStyle w:val="form"/>
          <w:i/>
          <w:iCs/>
          <w:color w:val="000000"/>
          <w:sz w:val="26"/>
          <w:szCs w:val="26"/>
        </w:rPr>
        <w:t>η</w:t>
      </w:r>
      <w:r>
        <w:rPr>
          <w:rFonts w:ascii="Arial" w:hAnsi="Arial" w:cs="Arial"/>
          <w:color w:val="000000"/>
          <w:sz w:val="21"/>
          <w:szCs w:val="21"/>
        </w:rPr>
        <w:t>) – </w:t>
      </w: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д</w:t>
      </w:r>
      <w:proofErr w:type="spellEnd"/>
      <w:r>
        <w:rPr>
          <w:rStyle w:val="form"/>
          <w:i/>
          <w:iCs/>
          <w:color w:val="000000"/>
          <w:sz w:val="26"/>
          <w:szCs w:val="26"/>
          <w:vertAlign w:val="subscript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и</w:t>
      </w:r>
      <w:proofErr w:type="spellEnd"/>
      <w:r>
        <w:rPr>
          <w:rStyle w:val="form"/>
          <w:i/>
          <w:iCs/>
          <w:color w:val="000000"/>
          <w:sz w:val="26"/>
          <w:szCs w:val="26"/>
          <w:vertAlign w:val="subscript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proofErr w:type="gramStart"/>
      <w:r>
        <w:rPr>
          <w:rStyle w:val="form"/>
          <w:i/>
          <w:iCs/>
          <w:color w:val="000000"/>
          <w:sz w:val="26"/>
          <w:szCs w:val="26"/>
          <w:vertAlign w:val="subscript"/>
        </w:rPr>
        <w:t>я.д</w:t>
      </w:r>
      <w:proofErr w:type="spellEnd"/>
      <w:proofErr w:type="gramEnd"/>
      <w:r>
        <w:rPr>
          <w:rStyle w:val="form"/>
          <w:i/>
          <w:iCs/>
          <w:color w:val="000000"/>
          <w:sz w:val="26"/>
          <w:szCs w:val="26"/>
          <w:vertAlign w:val="subscript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с.д</w:t>
      </w:r>
      <w:proofErr w:type="spellEnd"/>
      <w:r>
        <w:rPr>
          <w:rStyle w:val="form"/>
          <w:i/>
          <w:iCs/>
          <w:color w:val="000000"/>
          <w:sz w:val="26"/>
          <w:szCs w:val="26"/>
          <w:vertAlign w:val="subscript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к</w:t>
      </w:r>
      <w:proofErr w:type="spellEnd"/>
      <w:r>
        <w:rPr>
          <w:rStyle w:val="form"/>
          <w:i/>
          <w:iCs/>
          <w:color w:val="000000"/>
          <w:sz w:val="26"/>
          <w:szCs w:val="26"/>
          <w:vertAlign w:val="subscript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 </w:t>
      </w: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EA4CF9" w:rsidRDefault="00EA4CF9" w:rsidP="00EA4CF9">
      <w:pPr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(2.1)</w:t>
      </w:r>
    </w:p>
    <w:p w:rsidR="00EA4CF9" w:rsidRDefault="00EA4CF9" w:rsidP="00EA4CF9">
      <w:pPr>
        <w:pStyle w:val="gde"/>
        <w:shd w:val="clear" w:color="auto" w:fill="FFFFFF"/>
        <w:spacing w:after="0" w:afterAutospacing="0"/>
        <w:ind w:left="150" w:right="15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 </w:t>
      </w:r>
      <w:proofErr w:type="spellStart"/>
      <w:r>
        <w:rPr>
          <w:rStyle w:val="form"/>
          <w:i/>
          <w:iCs/>
          <w:color w:val="000000"/>
          <w:sz w:val="26"/>
          <w:szCs w:val="26"/>
        </w:rPr>
        <w:t>Δq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 избыточная (недостаточная) теплота человека, которая может быть либо положительной, либо отрицательной, т. е. тело человека либо накапливает теплоту, либо отдает больше чем получает, Вт/м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form"/>
          <w:i/>
          <w:iCs/>
          <w:color w:val="000000"/>
          <w:sz w:val="26"/>
          <w:szCs w:val="26"/>
        </w:rPr>
        <w:t>М</w:t>
      </w:r>
      <w:r>
        <w:rPr>
          <w:rFonts w:ascii="Arial" w:hAnsi="Arial" w:cs="Arial"/>
          <w:color w:val="000000"/>
          <w:sz w:val="21"/>
          <w:szCs w:val="21"/>
        </w:rPr>
        <w:t xml:space="preserve"> - метаболическая теплота (теплопродукция,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энергозатраты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человека, величина которой зависит от тяжести выполняемых работ, Вт;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F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 расчетная площадь поверхности взрослого человека, принимается равной 1,75 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form"/>
          <w:i/>
          <w:iCs/>
          <w:color w:val="000000"/>
          <w:sz w:val="26"/>
          <w:szCs w:val="26"/>
        </w:rPr>
        <w:t>η</w:t>
      </w:r>
      <w:r>
        <w:rPr>
          <w:rFonts w:ascii="Arial" w:hAnsi="Arial" w:cs="Arial"/>
          <w:color w:val="000000"/>
          <w:sz w:val="21"/>
          <w:szCs w:val="21"/>
        </w:rPr>
        <w:t> - тепловой коэффициент потерь метаболической теплоты;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 скрытая теплота диффузии пара через поры кожи, Вт/м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 скрытая теплота испарение с поверхности кожи вследствие потоотделения, Вт/м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яд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 явная теплота, отдаваемая с выдыхаемым воздухом, Вт/ 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сд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-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скрытая теплота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отдаваемая с выдыхаемым воздухом, Вт/ 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 теплоотдача конвекцией, Вт/м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EA4CF9" w:rsidRDefault="00EA4CF9" w:rsidP="00EA4CF9">
      <w:pPr>
        <w:pStyle w:val="gde"/>
        <w:shd w:val="clear" w:color="auto" w:fill="FFFFFF"/>
        <w:spacing w:before="0" w:beforeAutospacing="0" w:after="0" w:afterAutospacing="0"/>
        <w:ind w:left="150" w:right="150" w:firstLine="39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form"/>
          <w:i/>
          <w:iCs/>
          <w:color w:val="000000"/>
          <w:sz w:val="26"/>
          <w:szCs w:val="26"/>
        </w:rPr>
        <w:t>q</w:t>
      </w:r>
      <w:r>
        <w:rPr>
          <w:rStyle w:val="form"/>
          <w:i/>
          <w:iCs/>
          <w:color w:val="000000"/>
          <w:sz w:val="26"/>
          <w:szCs w:val="26"/>
          <w:vertAlign w:val="subscript"/>
        </w:rPr>
        <w:t>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- теплоотдача излучением, Вт/м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EA4CF9" w:rsidRDefault="00EA4CF9" w:rsidP="00EA4CF9">
      <w:pPr>
        <w:pStyle w:val="otstup"/>
        <w:shd w:val="clear" w:color="auto" w:fill="FFFFFF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Теплопродукция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энергозатраты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человека, зависит от тяжести выполняемых работ. Она может быть определена по табл. 1.</w:t>
      </w:r>
    </w:p>
    <w:p w:rsidR="00EA4CF9" w:rsidRDefault="00EA4CF9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2C24F24E" wp14:editId="1D97A5F1">
            <wp:extent cx="5191125" cy="15621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Теплоотдача через кожу путем диффузии определяется с использованием формулы Дальтона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q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д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5,42∙10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perscript"/>
          <w:lang w:eastAsia="ru-RU"/>
        </w:rPr>
        <w:t>-3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[324 – 0,461∙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M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F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т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(1 – 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η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–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],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(2.2)</w:t>
      </w:r>
    </w:p>
    <w:p w:rsidR="00EA4CF9" w:rsidRPr="00EA4CF9" w:rsidRDefault="00EA4CF9" w:rsidP="00EA4CF9">
      <w:pPr>
        <w:spacing w:before="100" w:beforeAutospacing="1"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парциальное давление водяных паров в воздухе, кПа, которое может быть определено по 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I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d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-диаграмме.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Используя эмпирическую формула О.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Фангера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определим теплоту, отдаваемую испарением с поверхности кожи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q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и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0,49</w:t>
      </w:r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∙[</w:t>
      </w:r>
      <w:proofErr w:type="gramEnd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M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F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т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(1 – 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η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– 50].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(2.3)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Скрытая теплота, отдаваемая человеком с </w:t>
      </w:r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выдыхаемым воздухом</w:t>
      </w:r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определяется по формуле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q</w:t>
      </w:r>
      <w:proofErr w:type="gram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с.д</w:t>
      </w:r>
      <w:proofErr w:type="spellEnd"/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0,0196∙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M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F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т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(5,9 –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(2.4)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Явная теплота, отдаваемая человеком с выдыхаемым воздухом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q</w:t>
      </w:r>
      <w:proofErr w:type="gram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я.д</w:t>
      </w:r>
      <w:proofErr w:type="spellEnd"/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0,0017∙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M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F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т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(34 –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(2.5)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Теплоотдача радиацией определяется по формуле Стефана-Больцмана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q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р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4,0∙[(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од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/100)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perscript"/>
          <w:lang w:eastAsia="ru-RU"/>
        </w:rPr>
        <w:t>4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(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Тr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/100)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perscript"/>
          <w:lang w:eastAsia="ru-RU"/>
        </w:rPr>
        <w:t>4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].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(2.6)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Теплоотдача конвекцией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q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к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f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од</w:t>
      </w:r>
      <w:proofErr w:type="spellEnd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 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α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од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(2.7)</w:t>
      </w:r>
    </w:p>
    <w:p w:rsidR="00EA4CF9" w:rsidRPr="00EA4CF9" w:rsidRDefault="00EA4CF9" w:rsidP="00EA4CF9">
      <w:pPr>
        <w:spacing w:before="100" w:beforeAutospacing="1"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f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од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коэффициент, учитывающий увеличение поверхности тела человека за счет одежды;</w:t>
      </w:r>
    </w:p>
    <w:p w:rsidR="00EA4CF9" w:rsidRPr="00EA4CF9" w:rsidRDefault="00EA4CF9" w:rsidP="00EA4CF9">
      <w:pPr>
        <w:spacing w:after="0" w:line="240" w:lineRule="auto"/>
        <w:ind w:left="150" w:right="150" w:firstLine="39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α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коэффициент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теплоперехода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поверхности одежды к воздуху помещения, Вт/(м</w:t>
      </w:r>
      <w:r w:rsidRPr="00EA4CF9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·К), который определяется при свободной или вынужденной конвекции.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расчета коэффициента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теплоперехода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свободной конвекции может быть использована приближенная формула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α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2,4 (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од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t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в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perscript"/>
          <w:lang w:eastAsia="ru-RU"/>
        </w:rPr>
        <w:t>0,25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(2.8)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вынужденной конвекции</w:t>
      </w:r>
    </w:p>
    <w:p w:rsidR="00EA4CF9" w:rsidRPr="00EA4CF9" w:rsidRDefault="00EA4CF9" w:rsidP="00EA4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α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3,75 +3,05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υ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Вт/(м</w:t>
      </w:r>
      <w:r w:rsidRPr="00EA4CF9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∙К),</w:t>
      </w:r>
    </w:p>
    <w:p w:rsidR="00EA4CF9" w:rsidRPr="00EA4CF9" w:rsidRDefault="00EA4CF9" w:rsidP="00EA4CF9">
      <w:pPr>
        <w:shd w:val="clear" w:color="auto" w:fill="FFFFFF"/>
        <w:spacing w:after="10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(2.9)</w:t>
      </w:r>
    </w:p>
    <w:p w:rsidR="00EA4CF9" w:rsidRPr="00EA4CF9" w:rsidRDefault="00EA4CF9" w:rsidP="00EA4CF9">
      <w:pPr>
        <w:spacing w:before="100" w:beforeAutospacing="1"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 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υ 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расчетная подвижность воздуха в рабочей зоне помещения, м/с.</w:t>
      </w:r>
    </w:p>
    <w:p w:rsidR="00EA4CF9" w:rsidRPr="00EA4CF9" w:rsidRDefault="00EA4CF9" w:rsidP="00EA4CF9">
      <w:pPr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Термическое сопротивление 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R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ОД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значения коэффициента </w:t>
      </w:r>
      <w:proofErr w:type="spellStart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f</w:t>
      </w:r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ОД</w:t>
      </w:r>
      <w:proofErr w:type="spellEnd"/>
      <w:r w:rsidRPr="00EA4CF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  <w:lang w:eastAsia="ru-RU"/>
        </w:rPr>
        <w:t> </w:t>
      </w: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различных типов одежды приведены в табл. 2.</w:t>
      </w:r>
    </w:p>
    <w:p w:rsidR="00EA4CF9" w:rsidRDefault="00EA4CF9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5E7EEBB2" wp14:editId="51EF983E">
            <wp:extent cx="5940425" cy="2867025"/>
            <wp:effectExtent l="0" t="0" r="317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Default="00EA4CF9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90E1567" wp14:editId="268B502E">
            <wp:extent cx="5940425" cy="28390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01F2CE" wp14:editId="2D4285AA">
            <wp:extent cx="5940425" cy="246634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ABCEC0" wp14:editId="608843B7">
            <wp:extent cx="5940425" cy="276733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Default="00EA4CF9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06361BCF" wp14:editId="151C01FC">
            <wp:extent cx="5940425" cy="4070985"/>
            <wp:effectExtent l="0" t="0" r="317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B01DD7" wp14:editId="08610304">
            <wp:extent cx="5724525" cy="3305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Default="00EA4CF9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768E64F6" wp14:editId="6A927FEC">
            <wp:extent cx="5940425" cy="3481070"/>
            <wp:effectExtent l="0" t="0" r="3175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B1BDC2" wp14:editId="27293446">
            <wp:extent cx="5334000" cy="37338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Default="00EA4CF9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4406943E" wp14:editId="574CC2D4">
            <wp:extent cx="5114925" cy="3495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7093F9" wp14:editId="0D9F0121">
            <wp:extent cx="5305425" cy="32766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Default="00EA4CF9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65D440C1" wp14:editId="3B2B7AFD">
            <wp:extent cx="5940425" cy="341503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Default="00EA4CF9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F6D5DCF" wp14:editId="6F9B1627">
            <wp:extent cx="5940425" cy="4566920"/>
            <wp:effectExtent l="0" t="0" r="317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F9" w:rsidRPr="00EA4CF9" w:rsidRDefault="00EA4CF9" w:rsidP="00EA4CF9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EA4CF9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Библиографический список</w:t>
      </w:r>
    </w:p>
    <w:p w:rsidR="00EA4CF9" w:rsidRPr="00EA4CF9" w:rsidRDefault="00EA4CF9" w:rsidP="00EA4CF9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Основная литература</w:t>
      </w:r>
    </w:p>
    <w:p w:rsidR="00EA4CF9" w:rsidRPr="00EA4CF9" w:rsidRDefault="00EA4CF9" w:rsidP="00EA4C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Каменев, П. Н. </w:t>
      </w:r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Вентиляция :</w:t>
      </w:r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учебник для вузов / П. Н. Каменев, Е. И.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Тертичник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.— М. : АСВ, 2008 .— 616 с. : ил. —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конце кн. — ISBN 978-5-93093-436-6 (в пер.) .</w:t>
      </w:r>
    </w:p>
    <w:p w:rsidR="00EA4CF9" w:rsidRPr="00EA4CF9" w:rsidRDefault="00EA4CF9" w:rsidP="00EA4C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Теплоснабжение и вентиляция. Курсовое и дипломное </w:t>
      </w:r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проектирование :</w:t>
      </w:r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учеб. пособие для вузов / Б. М. Хрусталев [и др.] ; под общ. ред. Б. М. Хрусталева .— 3-е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изд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 доп. — М. : АСВ, 2008 .— 784 с. : ил. — На обл. и корешке указ. три авт. —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конце гл. — ISBN 978-5-93093-394-9 (в пер.</w:t>
      </w:r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:</w:t>
      </w:r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627,00.</w:t>
      </w:r>
    </w:p>
    <w:p w:rsidR="00EA4CF9" w:rsidRPr="00EA4CF9" w:rsidRDefault="00EA4CF9" w:rsidP="00EA4CF9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литература</w:t>
      </w:r>
    </w:p>
    <w:p w:rsidR="00EA4CF9" w:rsidRPr="00EA4CF9" w:rsidRDefault="00EA4CF9" w:rsidP="00EA4C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Еремкин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И. Тепловой режим зданий : учеб. пособие для вузов / А. И.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Еремкин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 Т. И. Королева .— Ростов-н/Д : Феникс, 2008 .— 365 с. : ил .— (Высшее образование) .—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.: с. 358-360 .— ISBN 978-5-222-12605-9 (в пер.) .</w:t>
      </w:r>
    </w:p>
    <w:p w:rsidR="00EA4CF9" w:rsidRPr="00EA4CF9" w:rsidRDefault="00EA4CF9" w:rsidP="00EA4C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Изельт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П. Увлажнение воздуха. Системы и применение: (учеб. пособие/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Изельт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П.,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Арндт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У.,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Вильке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 – М.: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Техносфера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., 2007. -216</w:t>
      </w:r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с.:ил.</w:t>
      </w:r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начале кн.- ISBN 978-5-94836-136-9/в пер./: 512.00.</w:t>
      </w:r>
    </w:p>
    <w:p w:rsidR="00EA4CF9" w:rsidRPr="00EA4CF9" w:rsidRDefault="00EA4CF9" w:rsidP="00EA4C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Луканин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В.Н. Теплотехника: Учебник для вузов/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Луканин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В.Н. - 5 изд. стер. - М.: Высшая школа,</w:t>
      </w:r>
      <w:proofErr w:type="gram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2006.-</w:t>
      </w:r>
      <w:proofErr w:type="gram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671с.:ил.- </w:t>
      </w:r>
      <w:proofErr w:type="spellStart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</w:t>
      </w:r>
      <w:proofErr w:type="spellEnd"/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конце кн.- ISBN 5-0600-3958-7/в пер./: 364.06.</w:t>
      </w:r>
    </w:p>
    <w:p w:rsidR="00EA4CF9" w:rsidRPr="00EA4CF9" w:rsidRDefault="00EA4CF9" w:rsidP="00EA4CF9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Периодические издания</w:t>
      </w:r>
    </w:p>
    <w:p w:rsidR="00EA4CF9" w:rsidRPr="00EA4CF9" w:rsidRDefault="00EA4CF9" w:rsidP="00EA4C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журнал "Вентиляция, отопление, кондиционирование воздуха, теплоснабжение и строительная теплофизика"</w:t>
      </w:r>
    </w:p>
    <w:p w:rsidR="00EA4CF9" w:rsidRPr="00EA4CF9" w:rsidRDefault="00EA4CF9" w:rsidP="00EA4CF9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4CF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Программное обеспечение и Интернет-ресурсы</w:t>
      </w:r>
    </w:p>
    <w:p w:rsidR="00EA4CF9" w:rsidRPr="00EA4CF9" w:rsidRDefault="00EA4CF9" w:rsidP="00EA4C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" w:tgtFrame="_blank" w:history="1">
        <w:r w:rsidRPr="00EA4CF9">
          <w:rPr>
            <w:rFonts w:ascii="Arial" w:eastAsia="Times New Roman" w:hAnsi="Arial" w:cs="Arial"/>
            <w:color w:val="551A8B"/>
            <w:sz w:val="21"/>
            <w:szCs w:val="21"/>
            <w:u w:val="single"/>
            <w:lang w:eastAsia="ru-RU"/>
          </w:rPr>
          <w:t>http://tgv.khstu.ru/lib/learn/</w:t>
        </w:r>
      </w:hyperlink>
      <w:r w:rsidRPr="00EA4C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информационно-справочный сервер кафедры ТТГВ ИСФ ТОГУ</w:t>
      </w:r>
    </w:p>
    <w:p w:rsidR="00EA4CF9" w:rsidRPr="00E7068E" w:rsidRDefault="00EA4CF9">
      <w:pPr>
        <w:rPr>
          <w:b/>
        </w:rPr>
      </w:pPr>
      <w:bookmarkStart w:id="0" w:name="_GoBack"/>
      <w:bookmarkEnd w:id="0"/>
    </w:p>
    <w:sectPr w:rsidR="00EA4CF9" w:rsidRPr="00E7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12A6"/>
    <w:multiLevelType w:val="multilevel"/>
    <w:tmpl w:val="25348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360D0"/>
    <w:multiLevelType w:val="multilevel"/>
    <w:tmpl w:val="9940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429E8"/>
    <w:multiLevelType w:val="multilevel"/>
    <w:tmpl w:val="B032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46AFF"/>
    <w:multiLevelType w:val="multilevel"/>
    <w:tmpl w:val="2616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06758"/>
    <w:multiLevelType w:val="multilevel"/>
    <w:tmpl w:val="F6B2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B8"/>
    <w:rsid w:val="00C37234"/>
    <w:rsid w:val="00E7068E"/>
    <w:rsid w:val="00EA4CF9"/>
    <w:rsid w:val="00F7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EB79"/>
  <w15:chartTrackingRefBased/>
  <w15:docId w15:val="{10E76CC8-47FB-43C5-A8D3-ACD0C0A1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otstup">
    <w:name w:val="otstup"/>
    <w:basedOn w:val="a"/>
    <w:rsid w:val="00E7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rm">
    <w:name w:val="form"/>
    <w:basedOn w:val="a0"/>
    <w:rsid w:val="00E7068E"/>
  </w:style>
  <w:style w:type="paragraph" w:customStyle="1" w:styleId="gde">
    <w:name w:val="gde"/>
    <w:basedOn w:val="a"/>
    <w:rsid w:val="00E7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e1">
    <w:name w:val="gde1"/>
    <w:basedOn w:val="a"/>
    <w:rsid w:val="00EA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4CF9"/>
    <w:rPr>
      <w:b/>
      <w:bCs/>
    </w:rPr>
  </w:style>
  <w:style w:type="character" w:styleId="a4">
    <w:name w:val="Hyperlink"/>
    <w:basedOn w:val="a0"/>
    <w:uiPriority w:val="99"/>
    <w:semiHidden/>
    <w:unhideWhenUsed/>
    <w:rsid w:val="00EA4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4135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750321907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6349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1443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551233576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656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7591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666906011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215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0156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429278305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  <w:divsChild>
            <w:div w:id="15057850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1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8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8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1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://tgv.khstu.ru/lib/learn/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2021-09-28T06:04:00Z</dcterms:created>
  <dcterms:modified xsi:type="dcterms:W3CDTF">2021-09-28T06:47:00Z</dcterms:modified>
</cp:coreProperties>
</file>