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11E7" w14:textId="77777777" w:rsidR="00CA402F" w:rsidRPr="00CA402F" w:rsidRDefault="00CA402F" w:rsidP="00CA402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CA402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Введение</w:t>
      </w:r>
    </w:p>
    <w:p w14:paraId="0895B3D2" w14:textId="77777777" w:rsidR="00CA402F" w:rsidRPr="00CA402F" w:rsidRDefault="00CA402F" w:rsidP="00CA402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задачи надежности закладываются при проектировании, обеспечиваются при изготовлении устройств и поддерживаются в эксплуатации. Теория надежности также устанавливает и изучает количественные характеристики надежности и исследует связь между показателями экономичности и надежности. Существуют два направления повышения надежности: повышение надежности элементов, из которых состоит определенный объект, и создание объекта с высокой степенью надежности из относительно ненадежных элементов, используя различные виды резервирования. Максимальной эффективности в повышении надежности можно добиться рациональным сочетанием этих двух направлений.</w:t>
      </w:r>
    </w:p>
    <w:p w14:paraId="72203E27" w14:textId="77777777" w:rsidR="00CA402F" w:rsidRPr="00CA402F" w:rsidRDefault="00CA402F" w:rsidP="00CA402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электроэнергетике обычно различают два уровня задач, решаемых с учетом надежности:</w:t>
      </w:r>
    </w:p>
    <w:p w14:paraId="59FD4737" w14:textId="77777777" w:rsidR="00CA402F" w:rsidRPr="00CA402F" w:rsidRDefault="00CA402F" w:rsidP="00CA40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анализа;</w:t>
      </w:r>
    </w:p>
    <w:p w14:paraId="64A1FC4B" w14:textId="77777777" w:rsidR="00CA402F" w:rsidRPr="00CA402F" w:rsidRDefault="00CA402F" w:rsidP="00CA40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синтеза.</w:t>
      </w:r>
    </w:p>
    <w:p w14:paraId="3558B7FE" w14:textId="77777777" w:rsidR="00CA402F" w:rsidRPr="00CA402F" w:rsidRDefault="00CA402F" w:rsidP="00CA402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задачам анализа надежности относится количественная оценка показателей надежности элементов и систем, надежности электроснабжения потребителей при известных параметрах, режимах конфигурации систем электроснабжения. Задачи синтеза надежности заключаются в выборе рациональных решений при планировании, проектировании, сооружении и эксплуатации электроэнергетических систем, а также при изготовлении оборудования, обеспечивающего требуемый уровень надежности.</w:t>
      </w:r>
    </w:p>
    <w:p w14:paraId="27975095" w14:textId="77777777" w:rsidR="00CA402F" w:rsidRPr="00CA402F" w:rsidRDefault="00CA402F" w:rsidP="00CA402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данной контрольной работе заочника необходимо рассчитать показатели надежности отдельных элементов заданной схемы, вероятности безотказной работы схемы при двух способах резервирования (нагруженного дублирования и дублирования замещением); провести сравнение способов резервирования по уровню надежности.</w:t>
      </w:r>
    </w:p>
    <w:p w14:paraId="4DCB16CF" w14:textId="77777777" w:rsidR="00CA402F" w:rsidRDefault="00CA402F" w:rsidP="00CA402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1. Исходные данные</w:t>
      </w:r>
    </w:p>
    <w:p w14:paraId="0336DC85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 к контрольной работе заочника выбираются в соответствии с номером варианта по таблице 1.1. Номер варианта выбирается по последней цифре зачетки.</w:t>
      </w:r>
    </w:p>
    <w:tbl>
      <w:tblPr>
        <w:tblW w:w="12000" w:type="dxa"/>
        <w:tblCellSpacing w:w="15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988"/>
        <w:gridCol w:w="866"/>
        <w:gridCol w:w="1023"/>
        <w:gridCol w:w="1023"/>
        <w:gridCol w:w="1023"/>
        <w:gridCol w:w="1023"/>
        <w:gridCol w:w="1180"/>
        <w:gridCol w:w="1023"/>
        <w:gridCol w:w="1023"/>
        <w:gridCol w:w="968"/>
      </w:tblGrid>
      <w:tr w:rsidR="00CA402F" w14:paraId="75A1967D" w14:textId="77777777" w:rsidTr="00CA402F">
        <w:trPr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AB67B35" w14:textId="77777777" w:rsidR="00CA402F" w:rsidRDefault="00CA402F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1.1 – Исходные данные для проектирования</w:t>
            </w:r>
          </w:p>
        </w:tc>
      </w:tr>
      <w:tr w:rsidR="00CA402F" w14:paraId="668426EB" w14:textId="77777777" w:rsidTr="00CA402F">
        <w:trPr>
          <w:tblCellSpacing w:w="15" w:type="dxa"/>
        </w:trPr>
        <w:tc>
          <w:tcPr>
            <w:tcW w:w="18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3174261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Вар</w:t>
            </w:r>
          </w:p>
        </w:tc>
        <w:tc>
          <w:tcPr>
            <w:tcW w:w="95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5A5E94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3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EB175A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EBAB63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1AF10D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9E2B67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F40AA5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496271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523E52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2DD59C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2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68AB65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CA402F" w14:paraId="3DE845ED" w14:textId="77777777" w:rsidTr="00CA402F">
        <w:trPr>
          <w:tblCellSpacing w:w="15" w:type="dxa"/>
        </w:trPr>
        <w:tc>
          <w:tcPr>
            <w:tcW w:w="18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6D5EE6B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1. Напряжение питающей сети</w:t>
            </w:r>
          </w:p>
        </w:tc>
        <w:tc>
          <w:tcPr>
            <w:tcW w:w="95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28720A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35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83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ABA428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35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C540B0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35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4F7594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35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5EA035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35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34EB65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3748E0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F38247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D9D3E0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2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A242C4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</w:tr>
      <w:tr w:rsidR="00CA402F" w14:paraId="37900AC9" w14:textId="77777777" w:rsidTr="00CA402F">
        <w:trPr>
          <w:tblCellSpacing w:w="15" w:type="dxa"/>
        </w:trPr>
        <w:tc>
          <w:tcPr>
            <w:tcW w:w="18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2CF5E28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2. Напряжение вторичной обмотки трансформатора</w:t>
            </w:r>
          </w:p>
        </w:tc>
        <w:tc>
          <w:tcPr>
            <w:tcW w:w="95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5BDBD4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83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0D2FCE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EFB8DF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93FDFA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835E27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BFBB3C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7EC810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CDCA6D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DBB5C8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92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D968A3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</w:p>
        </w:tc>
      </w:tr>
      <w:tr w:rsidR="00CA402F" w14:paraId="615C356F" w14:textId="77777777" w:rsidTr="00CA402F">
        <w:trPr>
          <w:tblCellSpacing w:w="15" w:type="dxa"/>
        </w:trPr>
        <w:tc>
          <w:tcPr>
            <w:tcW w:w="18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BFA8522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3. Длина ВЛ1 </w:t>
            </w:r>
            <w:r>
              <w:rPr>
                <w:rStyle w:val="a3"/>
                <w:b/>
                <w:bCs/>
                <w:color w:val="981917"/>
                <w:sz w:val="21"/>
                <w:szCs w:val="21"/>
              </w:rPr>
              <w:t>l</w:t>
            </w:r>
            <w:r>
              <w:rPr>
                <w:b/>
                <w:bCs/>
                <w:color w:val="981917"/>
                <w:sz w:val="21"/>
                <w:szCs w:val="21"/>
              </w:rPr>
              <w:t>1</w:t>
            </w:r>
          </w:p>
        </w:tc>
        <w:tc>
          <w:tcPr>
            <w:tcW w:w="95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D22119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км</w:t>
            </w:r>
          </w:p>
        </w:tc>
        <w:tc>
          <w:tcPr>
            <w:tcW w:w="83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4C9B51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EF4719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87474C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C717CF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E93AEF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км</w:t>
            </w:r>
          </w:p>
        </w:tc>
        <w:tc>
          <w:tcPr>
            <w:tcW w:w="11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86E1C0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8F7790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EAB00C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 км</w:t>
            </w:r>
          </w:p>
        </w:tc>
        <w:tc>
          <w:tcPr>
            <w:tcW w:w="92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7082F0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км</w:t>
            </w:r>
          </w:p>
        </w:tc>
      </w:tr>
      <w:tr w:rsidR="00CA402F" w14:paraId="327B5B82" w14:textId="77777777" w:rsidTr="00CA402F">
        <w:trPr>
          <w:tblCellSpacing w:w="15" w:type="dxa"/>
        </w:trPr>
        <w:tc>
          <w:tcPr>
            <w:tcW w:w="18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97AD418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4. Длина ВЛ2 </w:t>
            </w:r>
            <w:r>
              <w:rPr>
                <w:rStyle w:val="a3"/>
                <w:b/>
                <w:bCs/>
                <w:color w:val="981917"/>
                <w:sz w:val="21"/>
                <w:szCs w:val="21"/>
              </w:rPr>
              <w:t>l</w:t>
            </w:r>
            <w:r>
              <w:rPr>
                <w:b/>
                <w:bCs/>
                <w:color w:val="981917"/>
                <w:sz w:val="21"/>
                <w:szCs w:val="21"/>
              </w:rPr>
              <w:t>3</w:t>
            </w:r>
          </w:p>
        </w:tc>
        <w:tc>
          <w:tcPr>
            <w:tcW w:w="95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275E5B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км</w:t>
            </w:r>
          </w:p>
        </w:tc>
        <w:tc>
          <w:tcPr>
            <w:tcW w:w="83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5BA765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319B77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2612E6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AFE642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21509C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км</w:t>
            </w:r>
          </w:p>
        </w:tc>
        <w:tc>
          <w:tcPr>
            <w:tcW w:w="11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1E5A53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7BD9FA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660BAA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 км</w:t>
            </w:r>
          </w:p>
        </w:tc>
        <w:tc>
          <w:tcPr>
            <w:tcW w:w="92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DA22F2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км</w:t>
            </w:r>
          </w:p>
        </w:tc>
      </w:tr>
      <w:tr w:rsidR="00CA402F" w14:paraId="29E4F463" w14:textId="77777777" w:rsidTr="00CA402F">
        <w:trPr>
          <w:tblCellSpacing w:w="15" w:type="dxa"/>
        </w:trPr>
        <w:tc>
          <w:tcPr>
            <w:tcW w:w="18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172498B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5. Длина КЛ1 </w:t>
            </w:r>
            <w:r>
              <w:rPr>
                <w:rStyle w:val="a3"/>
                <w:b/>
                <w:bCs/>
                <w:color w:val="981917"/>
                <w:sz w:val="21"/>
                <w:szCs w:val="21"/>
              </w:rPr>
              <w:t>l</w:t>
            </w:r>
            <w:r>
              <w:rPr>
                <w:b/>
                <w:bCs/>
                <w:color w:val="981917"/>
                <w:sz w:val="21"/>
                <w:szCs w:val="21"/>
              </w:rPr>
              <w:t>2 </w:t>
            </w:r>
          </w:p>
        </w:tc>
        <w:tc>
          <w:tcPr>
            <w:tcW w:w="95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7C1FA1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км</w:t>
            </w:r>
          </w:p>
        </w:tc>
        <w:tc>
          <w:tcPr>
            <w:tcW w:w="83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D63DEE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129027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3106F5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E48FDD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6FE73A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 км</w:t>
            </w:r>
          </w:p>
        </w:tc>
        <w:tc>
          <w:tcPr>
            <w:tcW w:w="11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068305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DD46AF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ED88C2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км</w:t>
            </w:r>
          </w:p>
        </w:tc>
        <w:tc>
          <w:tcPr>
            <w:tcW w:w="92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A44482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 км</w:t>
            </w:r>
          </w:p>
        </w:tc>
      </w:tr>
      <w:tr w:rsidR="00CA402F" w14:paraId="7E9C949E" w14:textId="77777777" w:rsidTr="00CA402F">
        <w:trPr>
          <w:tblCellSpacing w:w="15" w:type="dxa"/>
        </w:trPr>
        <w:tc>
          <w:tcPr>
            <w:tcW w:w="18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F80468A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6. Длина КЛ2</w:t>
            </w:r>
            <w:r>
              <w:rPr>
                <w:rStyle w:val="a3"/>
                <w:b/>
                <w:bCs/>
                <w:color w:val="981917"/>
                <w:sz w:val="21"/>
                <w:szCs w:val="21"/>
              </w:rPr>
              <w:t>l</w:t>
            </w:r>
            <w:r>
              <w:rPr>
                <w:b/>
                <w:bCs/>
                <w:color w:val="981917"/>
                <w:sz w:val="21"/>
                <w:szCs w:val="21"/>
              </w:rPr>
              <w:t>4</w:t>
            </w:r>
          </w:p>
        </w:tc>
        <w:tc>
          <w:tcPr>
            <w:tcW w:w="95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1F0E67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км</w:t>
            </w:r>
          </w:p>
        </w:tc>
        <w:tc>
          <w:tcPr>
            <w:tcW w:w="83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7838F8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2E5ABD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5BB391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049046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1FBC06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 км</w:t>
            </w:r>
          </w:p>
        </w:tc>
        <w:tc>
          <w:tcPr>
            <w:tcW w:w="11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7D0FE9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D866C3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EB3044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км</w:t>
            </w:r>
          </w:p>
        </w:tc>
        <w:tc>
          <w:tcPr>
            <w:tcW w:w="92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A76A0F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 км</w:t>
            </w:r>
          </w:p>
        </w:tc>
      </w:tr>
      <w:tr w:rsidR="00CA402F" w14:paraId="1E0AB2BB" w14:textId="77777777" w:rsidTr="00CA402F">
        <w:trPr>
          <w:tblCellSpacing w:w="15" w:type="dxa"/>
        </w:trPr>
        <w:tc>
          <w:tcPr>
            <w:tcW w:w="18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7FE6310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lastRenderedPageBreak/>
              <w:t>7. Ввод РУ </w:t>
            </w:r>
            <w:r>
              <w:rPr>
                <w:rStyle w:val="a3"/>
                <w:b/>
                <w:bCs/>
                <w:color w:val="981917"/>
                <w:sz w:val="21"/>
                <w:szCs w:val="21"/>
              </w:rPr>
              <w:t>l</w:t>
            </w:r>
            <w:r>
              <w:rPr>
                <w:b/>
                <w:bCs/>
                <w:color w:val="981917"/>
                <w:sz w:val="21"/>
                <w:szCs w:val="21"/>
              </w:rPr>
              <w:t>5</w:t>
            </w:r>
          </w:p>
        </w:tc>
        <w:tc>
          <w:tcPr>
            <w:tcW w:w="95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2B4BC8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 км</w:t>
            </w:r>
          </w:p>
        </w:tc>
        <w:tc>
          <w:tcPr>
            <w:tcW w:w="83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0711DE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45662A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6D1E1E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293BF8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EE4F1E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0,25 км</w:t>
            </w:r>
          </w:p>
        </w:tc>
        <w:tc>
          <w:tcPr>
            <w:tcW w:w="11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5E0A51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BE85C9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1F7158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 км</w:t>
            </w:r>
          </w:p>
        </w:tc>
        <w:tc>
          <w:tcPr>
            <w:tcW w:w="92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4C2A96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0,25 км</w:t>
            </w:r>
          </w:p>
        </w:tc>
      </w:tr>
      <w:tr w:rsidR="00CA402F" w14:paraId="60FFE76E" w14:textId="77777777" w:rsidTr="00CA402F">
        <w:trPr>
          <w:tblCellSpacing w:w="15" w:type="dxa"/>
        </w:trPr>
        <w:tc>
          <w:tcPr>
            <w:tcW w:w="18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B777BB0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8. Ввод РУ</w:t>
            </w:r>
            <w:r>
              <w:rPr>
                <w:rStyle w:val="a3"/>
                <w:b/>
                <w:bCs/>
                <w:color w:val="981917"/>
                <w:sz w:val="21"/>
                <w:szCs w:val="21"/>
              </w:rPr>
              <w:t>l</w:t>
            </w:r>
            <w:r>
              <w:rPr>
                <w:b/>
                <w:bCs/>
                <w:color w:val="981917"/>
                <w:sz w:val="21"/>
                <w:szCs w:val="21"/>
              </w:rPr>
              <w:t>6</w:t>
            </w:r>
          </w:p>
        </w:tc>
        <w:tc>
          <w:tcPr>
            <w:tcW w:w="95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D0DAEA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 км</w:t>
            </w:r>
          </w:p>
        </w:tc>
        <w:tc>
          <w:tcPr>
            <w:tcW w:w="83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6B23E4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4CB659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FC49F9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AEC6E6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113FB1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0,25 км</w:t>
            </w:r>
          </w:p>
        </w:tc>
        <w:tc>
          <w:tcPr>
            <w:tcW w:w="115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C556D8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 км</w:t>
            </w:r>
          </w:p>
        </w:tc>
        <w:tc>
          <w:tcPr>
            <w:tcW w:w="99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A18BE3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0,15 км</w:t>
            </w:r>
          </w:p>
        </w:tc>
        <w:tc>
          <w:tcPr>
            <w:tcW w:w="99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806134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 км</w:t>
            </w:r>
          </w:p>
        </w:tc>
        <w:tc>
          <w:tcPr>
            <w:tcW w:w="92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1DC449" w14:textId="77777777" w:rsidR="00CA402F" w:rsidRDefault="00CA402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0,25 км</w:t>
            </w:r>
          </w:p>
        </w:tc>
      </w:tr>
    </w:tbl>
    <w:p w14:paraId="545E48AB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Требуется рассчитать показатели надежности участка системы электроснабжения в соответствии с рисунком 1.1</w:t>
      </w:r>
    </w:p>
    <w:p w14:paraId="1DB4BDF2" w14:textId="335E6035" w:rsidR="00C7741A" w:rsidRDefault="00CA402F" w:rsidP="00CA402F">
      <w:r>
        <w:rPr>
          <w:noProof/>
        </w:rPr>
        <w:drawing>
          <wp:inline distT="0" distB="0" distL="0" distR="0" wp14:anchorId="5C034E06" wp14:editId="11E04592">
            <wp:extent cx="7200900" cy="15760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688E5" w14:textId="77777777" w:rsidR="00CA402F" w:rsidRPr="00CA402F" w:rsidRDefault="00CA402F" w:rsidP="00CA402F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Дополнительные данные:</w:t>
      </w:r>
    </w:p>
    <w:p w14:paraId="5A4EBD4A" w14:textId="77777777" w:rsidR="00CA402F" w:rsidRPr="00CA402F" w:rsidRDefault="00CA402F" w:rsidP="00CA402F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линии ВЛ двухцепные;</w:t>
      </w:r>
    </w:p>
    <w:p w14:paraId="19C0A2B7" w14:textId="77777777" w:rsidR="00CA402F" w:rsidRPr="00CA402F" w:rsidRDefault="00CA402F" w:rsidP="00CA402F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расчете показателей считать, что все коммутационные аппараты включены;</w:t>
      </w:r>
    </w:p>
    <w:p w14:paraId="0E2F105D" w14:textId="77777777" w:rsidR="00CA402F" w:rsidRPr="00CA402F" w:rsidRDefault="00CA402F" w:rsidP="00CA402F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показатели надежности принимаются по справочной литературе;</w:t>
      </w:r>
    </w:p>
    <w:p w14:paraId="3E937702" w14:textId="77777777" w:rsidR="00CA402F" w:rsidRPr="00CA402F" w:rsidRDefault="00CA402F" w:rsidP="00CA402F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время работы схемы отказавшие объекты не восстанавливаются и не заменяются новыми.</w:t>
      </w:r>
    </w:p>
    <w:p w14:paraId="350D276F" w14:textId="77777777" w:rsidR="00CA402F" w:rsidRDefault="00CA402F" w:rsidP="00CA402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Расчет показателей надежности отдельных элементов заданной схемы</w:t>
      </w:r>
    </w:p>
    <w:p w14:paraId="54AE8AB1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В соответствии с </w:t>
      </w:r>
      <w:hyperlink r:id="rId6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27.002-2015 Надежность в технике (ССНТ). Термины и определения</w:t>
        </w:r>
      </w:hyperlink>
      <w:r>
        <w:rPr>
          <w:rFonts w:ascii="Arial" w:hAnsi="Arial" w:cs="Arial"/>
          <w:color w:val="000000"/>
          <w:sz w:val="21"/>
          <w:szCs w:val="21"/>
        </w:rPr>
        <w:t> для количественной оценки надежности применяются количественные показатели оценки отдельных ее свойств: безотказности, долговечности, ремонтопригодности и сохраняемости, а также комплексные показатели, характеризующие готовность и эффективность использования технических объектов (в частности, электроустановок).</w:t>
      </w:r>
    </w:p>
    <w:p w14:paraId="470B7913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Эти показатели позволяют проводить расчетно-аналитическую оценку количественных характеристик отдельных свойств при выборе различных схемных и конструктивных вариантов оборудования (объектов) при их разработке, испытаниях и в условиях эксплуатации. Комплексные показатели надежности используются главным образом на этапах испытаний и эксплуатации при оценке и анализе соответствия эксплуатационно-технических характеристик технических объектов (устройств) заданным требованиям.  </w:t>
      </w:r>
    </w:p>
    <w:p w14:paraId="1E30A067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стадиях экспериментальной отработки, испытаний и эксплуатации, как правило, роль показателей надежности выполняют статистические оценки соответствующих вероятностных характеристик.</w:t>
      </w:r>
    </w:p>
    <w:p w14:paraId="469DA1A7" w14:textId="3A088170" w:rsidR="00CA402F" w:rsidRDefault="00CA402F" w:rsidP="00CA402F">
      <w:r>
        <w:rPr>
          <w:noProof/>
        </w:rPr>
        <w:drawing>
          <wp:inline distT="0" distB="0" distL="0" distR="0" wp14:anchorId="319FB8B3" wp14:editId="34EB181B">
            <wp:extent cx="7200900" cy="18522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85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39E10" w14:textId="42AA791B" w:rsidR="00CA402F" w:rsidRPr="00CA402F" w:rsidRDefault="00CA402F" w:rsidP="00CA402F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4"/>
        <w:gridCol w:w="1653"/>
        <w:gridCol w:w="2262"/>
        <w:gridCol w:w="2262"/>
        <w:gridCol w:w="2429"/>
      </w:tblGrid>
      <w:tr w:rsidR="00CA402F" w:rsidRPr="00CA402F" w14:paraId="7442F0B5" w14:textId="77777777" w:rsidTr="00CA402F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6B3A161" w14:textId="77777777" w:rsidR="00CA402F" w:rsidRPr="00CA402F" w:rsidRDefault="00CA402F" w:rsidP="00CA402F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CA40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 xml:space="preserve">Таблица 1.2 - Показатели надежности отдельных элементов заданной схемы (по варианту </w:t>
            </w:r>
            <w:proofErr w:type="gramStart"/>
            <w:r w:rsidRPr="00CA40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№«</w:t>
            </w:r>
            <w:proofErr w:type="gramEnd"/>
            <w:r w:rsidRPr="00CA40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0»)</w:t>
            </w:r>
          </w:p>
        </w:tc>
      </w:tr>
      <w:tr w:rsidR="00CA402F" w:rsidRPr="00CA402F" w14:paraId="72CDCC7C" w14:textId="77777777" w:rsidTr="00CA402F">
        <w:trPr>
          <w:tblCellSpacing w:w="15" w:type="dxa"/>
        </w:trPr>
        <w:tc>
          <w:tcPr>
            <w:tcW w:w="190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719543A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Элемент</w:t>
            </w:r>
          </w:p>
        </w:tc>
        <w:tc>
          <w:tcPr>
            <w:tcW w:w="144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1C1144E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Условное обозначение на схемах</w:t>
            </w:r>
          </w:p>
        </w:tc>
        <w:tc>
          <w:tcPr>
            <w:tcW w:w="198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734C901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Интенсивность отказов (</w:t>
            </w:r>
            <w:proofErr w:type="spellStart"/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справочн</w:t>
            </w:r>
            <w:proofErr w:type="spellEnd"/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.) </w:t>
            </w:r>
            <w:proofErr w:type="spellStart"/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λ</w:t>
            </w:r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c</w:t>
            </w:r>
            <w:proofErr w:type="spellEnd"/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1/год</w:t>
            </w:r>
          </w:p>
        </w:tc>
        <w:tc>
          <w:tcPr>
            <w:tcW w:w="198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F100EF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Интенсивность отказов (</w:t>
            </w:r>
            <w:proofErr w:type="spellStart"/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расчетн</w:t>
            </w:r>
            <w:proofErr w:type="spellEnd"/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.)</w:t>
            </w:r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 </w:t>
            </w:r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λ</w:t>
            </w:r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1/год</w:t>
            </w:r>
          </w:p>
        </w:tc>
        <w:tc>
          <w:tcPr>
            <w:tcW w:w="211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61A1CC0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Среднее время безотказной работы </w:t>
            </w:r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Т</w:t>
            </w:r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год</w:t>
            </w:r>
          </w:p>
        </w:tc>
      </w:tr>
      <w:tr w:rsidR="00CA402F" w:rsidRPr="00CA402F" w14:paraId="5F911E5D" w14:textId="77777777" w:rsidTr="00CA402F">
        <w:trPr>
          <w:tblCellSpacing w:w="15" w:type="dxa"/>
        </w:trPr>
        <w:tc>
          <w:tcPr>
            <w:tcW w:w="19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2AAFF9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ВЛ 35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двухцепная</w:t>
            </w:r>
          </w:p>
        </w:tc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ADD845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2Л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4EAFB9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0,008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B83256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21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6FD6D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6,25</w:t>
            </w:r>
          </w:p>
        </w:tc>
      </w:tr>
      <w:tr w:rsidR="00CA402F" w:rsidRPr="00CA402F" w14:paraId="4130DC99" w14:textId="77777777" w:rsidTr="00CA402F">
        <w:trPr>
          <w:tblCellSpacing w:w="15" w:type="dxa"/>
        </w:trPr>
        <w:tc>
          <w:tcPr>
            <w:tcW w:w="19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46BB16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ВЛ 110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двухцепная</w:t>
            </w:r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842B0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2Л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72DAC5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0,008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3F98E7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21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D98785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6,25</w:t>
            </w:r>
          </w:p>
        </w:tc>
      </w:tr>
      <w:tr w:rsidR="00CA402F" w:rsidRPr="00CA402F" w14:paraId="258CFD99" w14:textId="77777777" w:rsidTr="00CA402F">
        <w:trPr>
          <w:tblCellSpacing w:w="15" w:type="dxa"/>
        </w:trPr>
        <w:tc>
          <w:tcPr>
            <w:tcW w:w="19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8BA6FD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ВЛ 10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91DD60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E67ED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9C1B0C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21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C6969D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CA402F" w:rsidRPr="00CA402F" w14:paraId="35468B73" w14:textId="77777777" w:rsidTr="00CA402F">
        <w:trPr>
          <w:tblCellSpacing w:w="15" w:type="dxa"/>
        </w:trPr>
        <w:tc>
          <w:tcPr>
            <w:tcW w:w="19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E99406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ВЛ 6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E081EC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E5091D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9B50DC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21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79F205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CA402F" w:rsidRPr="00CA402F" w14:paraId="74B0C3EA" w14:textId="77777777" w:rsidTr="00CA402F">
        <w:trPr>
          <w:tblCellSpacing w:w="15" w:type="dxa"/>
        </w:trPr>
        <w:tc>
          <w:tcPr>
            <w:tcW w:w="19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608840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Трансформатор с высшим напряжением 35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57F86A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E1A30C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38C11A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21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54CFB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</w:t>
            </w:r>
          </w:p>
        </w:tc>
      </w:tr>
      <w:tr w:rsidR="00CA402F" w:rsidRPr="00CA402F" w14:paraId="3F84A87F" w14:textId="77777777" w:rsidTr="00CA402F">
        <w:trPr>
          <w:tblCellSpacing w:w="15" w:type="dxa"/>
        </w:trPr>
        <w:tc>
          <w:tcPr>
            <w:tcW w:w="19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58E9B6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Трансформатор с высшим напряжением 110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0AAEC7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DFE2F5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12A29B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21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F4C05D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</w:t>
            </w:r>
          </w:p>
        </w:tc>
      </w:tr>
      <w:tr w:rsidR="00CA402F" w:rsidRPr="00CA402F" w14:paraId="251BB8A9" w14:textId="77777777" w:rsidTr="00CA402F">
        <w:trPr>
          <w:tblCellSpacing w:w="15" w:type="dxa"/>
        </w:trPr>
        <w:tc>
          <w:tcPr>
            <w:tcW w:w="19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40DB83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Выключатель 35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322673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Q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F9FF43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C2A658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21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748B96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CA402F" w:rsidRPr="00CA402F" w14:paraId="458D84B6" w14:textId="77777777" w:rsidTr="00CA402F">
        <w:trPr>
          <w:tblCellSpacing w:w="15" w:type="dxa"/>
        </w:trPr>
        <w:tc>
          <w:tcPr>
            <w:tcW w:w="19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87E398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Выключатель 110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32FA88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Q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C23C13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878ABA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21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E1FC01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CA402F" w:rsidRPr="00CA402F" w14:paraId="2B7BC9C0" w14:textId="77777777" w:rsidTr="00CA402F">
        <w:trPr>
          <w:tblCellSpacing w:w="15" w:type="dxa"/>
        </w:trPr>
        <w:tc>
          <w:tcPr>
            <w:tcW w:w="19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29057E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Разъединитель 10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C4A8A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QS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864456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F89040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21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C2CE93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CA402F" w:rsidRPr="00CA402F" w14:paraId="5CD23943" w14:textId="77777777" w:rsidTr="00CA402F">
        <w:trPr>
          <w:tblCellSpacing w:w="15" w:type="dxa"/>
        </w:trPr>
        <w:tc>
          <w:tcPr>
            <w:tcW w:w="19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F79767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Разъединитель 6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781D4A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QS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0875AD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9746DD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21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865E09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CA402F" w:rsidRPr="00CA402F" w14:paraId="5923E43A" w14:textId="77777777" w:rsidTr="00CA402F">
        <w:trPr>
          <w:tblCellSpacing w:w="15" w:type="dxa"/>
        </w:trPr>
        <w:tc>
          <w:tcPr>
            <w:tcW w:w="19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EBAFD0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КЛ 35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C46453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К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9B2F9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19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63C6CF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21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CED08F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CA402F" w:rsidRPr="00CA402F" w14:paraId="630DD49C" w14:textId="77777777" w:rsidTr="00CA402F">
        <w:trPr>
          <w:tblCellSpacing w:w="15" w:type="dxa"/>
        </w:trPr>
        <w:tc>
          <w:tcPr>
            <w:tcW w:w="19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F75C96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КЛ 110 </w:t>
            </w:r>
            <w:proofErr w:type="spellStart"/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A7C653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К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704435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F567DD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21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9E757C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</w:tbl>
    <w:p w14:paraId="735A7BAA" w14:textId="20F4E571" w:rsidR="00CA402F" w:rsidRDefault="00CA402F" w:rsidP="00CA402F"/>
    <w:p w14:paraId="3C67BB5D" w14:textId="77777777" w:rsidR="00CA402F" w:rsidRDefault="00CA402F" w:rsidP="00CA402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Составление схемы замещения по надежности</w:t>
      </w:r>
    </w:p>
    <w:p w14:paraId="728BAB0F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Большинство систем спроектировано таким образом, что при отказе любого из элементов система отказывает. При анализе надежности такой системы предполагаем, что отказ любого из элементов носит случайный и независимый характер и не вызывает изменения характеристик (не нарушает работоспособности) остальных элементов.</w:t>
      </w:r>
    </w:p>
    <w:p w14:paraId="732E5B34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Схему расчета надежности целесообразно составлять таким образом, чтобы элементами расчета были конструктивно оформленные блоки (звенья), которые имеют свои показатели надежности, техническую документацию, нормативы содержания и другие документы. Если в расчетах эти элементы работают не одновременно, то целесообразно такие элементы распределять по времени их работы на группы и образовать из этих групп самостоятельные блоки расчета.</w:t>
      </w:r>
    </w:p>
    <w:p w14:paraId="6E12D15A" w14:textId="1B9F18CC" w:rsidR="00CA402F" w:rsidRDefault="00CA402F" w:rsidP="00CA402F">
      <w:r>
        <w:rPr>
          <w:noProof/>
        </w:rPr>
        <w:lastRenderedPageBreak/>
        <w:drawing>
          <wp:inline distT="0" distB="0" distL="0" distR="0" wp14:anchorId="29F16071" wp14:editId="11022DAE">
            <wp:extent cx="7200900" cy="169418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89AB6" w14:textId="77777777" w:rsidR="00CA402F" w:rsidRDefault="00CA402F" w:rsidP="00CA402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Расчет вероятности безотказной работы схемы для двух способов резервирования</w:t>
      </w:r>
    </w:p>
    <w:p w14:paraId="5BF423A3" w14:textId="77777777" w:rsidR="00CA402F" w:rsidRDefault="00CA402F" w:rsidP="00CA402F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4.1. Способ нагруженного дублирования</w:t>
      </w:r>
    </w:p>
    <w:p w14:paraId="40081728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эксплуатации систем широко распространен способ повышения их надежности за счет введения в схему системы дополнительных элементов, которые могут работать параллельно с основными элементами или подключаться на место отказавшего элемента. Таким образом, резервированной системой называется такая система, в которой отказ наступает только после отказа любого основного элемента и всех резервных у анализируемого элемента.</w:t>
      </w:r>
    </w:p>
    <w:p w14:paraId="116D2570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общем резервировании основной объект (система) резервируется в целом, а при раздельном - резервируются отдельные части (элементы) системы. Под кратностью резервирования «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» понимается отношение числа резервных объектов к числу основных. При резервировании с целой кратностью величина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есть целое число (например, если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= 2, то на один основной. объект приходится два резервных). При резервировании дробной кратностью получается дробное несокращаемое число. Например, при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= 4/2 резервных объектов 4, основных 2, общее число объектов 6. Сокращать дробь нельзя, так как новое отношение будет отражать совсем другой физический смысл.</w:t>
      </w:r>
    </w:p>
    <w:p w14:paraId="2341ED3E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способу включения резервирование разделяется на постоянное и резервирование замещением. При постоянном резервировании резервные объекты подключены к нагрузке постоянно в течение всего времени работы и находятся в одинаковых с основными объектами условиях. При резервировании замещением замещают объекты основные (подключаются к нагрузке) после их отказа.</w:t>
      </w:r>
    </w:p>
    <w:p w14:paraId="333715CD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Способ нагруженного дублирования</w:t>
      </w:r>
    </w:p>
    <w:p w14:paraId="634C2EBD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 нагруженного дублирования является частным случаем общего нагруженного резервирования с целой кратностью, </w:t>
      </w:r>
      <w:r>
        <w:rPr>
          <w:rStyle w:val="form"/>
          <w:i/>
          <w:iCs/>
          <w:color w:val="000000"/>
          <w:sz w:val="26"/>
          <w:szCs w:val="26"/>
        </w:rPr>
        <w:t>m </w:t>
      </w:r>
      <w:r>
        <w:rPr>
          <w:rFonts w:ascii="Arial" w:hAnsi="Arial" w:cs="Arial"/>
          <w:color w:val="000000"/>
          <w:sz w:val="21"/>
          <w:szCs w:val="21"/>
        </w:rPr>
        <w:t>= 1, то есть на одну основную цепь приходится одна резервная цепь, находящаяся под нагрузкой.</w:t>
      </w:r>
    </w:p>
    <w:p w14:paraId="7CA9FD9F" w14:textId="1849DEA9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Рассмотрим схему на рисунке 3.1.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Элементы  цепи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741AD98B" wp14:editId="5C9341A2">
                <wp:extent cx="695325" cy="238125"/>
                <wp:effectExtent l="0" t="0" r="0" b="0"/>
                <wp:docPr id="4" name="Прямоугольни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953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F6B372" id="Прямоугольник 4" o:spid="_x0000_s1026" style="width:54.7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 являются резервными.</w:t>
      </w:r>
    </w:p>
    <w:p w14:paraId="2073AB5C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Составим схему для расчета вероятности безотказной работы питающей сети при нагруженном дублировании:</w:t>
      </w:r>
    </w:p>
    <w:p w14:paraId="41870082" w14:textId="5FD79FC6" w:rsidR="00CA402F" w:rsidRDefault="00CA402F" w:rsidP="00CA402F">
      <w:r>
        <w:rPr>
          <w:noProof/>
        </w:rPr>
        <w:lastRenderedPageBreak/>
        <w:drawing>
          <wp:inline distT="0" distB="0" distL="0" distR="0" wp14:anchorId="39BB054F" wp14:editId="6ABEB06B">
            <wp:extent cx="7200900" cy="509714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09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0F0D6C" wp14:editId="1FC190AA">
            <wp:extent cx="7200900" cy="35261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95CD9" w14:textId="0B48F72A" w:rsidR="00CA402F" w:rsidRDefault="00CA402F" w:rsidP="00CA402F">
      <w:r>
        <w:rPr>
          <w:noProof/>
        </w:rPr>
        <w:lastRenderedPageBreak/>
        <w:drawing>
          <wp:inline distT="0" distB="0" distL="0" distR="0" wp14:anchorId="2F687F0D" wp14:editId="3366D6BE">
            <wp:extent cx="7200900" cy="55124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51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ECC52" w14:textId="7CFD9434" w:rsidR="00CA402F" w:rsidRDefault="00CA402F" w:rsidP="00CA402F">
      <w:r>
        <w:rPr>
          <w:noProof/>
        </w:rPr>
        <w:lastRenderedPageBreak/>
        <w:drawing>
          <wp:inline distT="0" distB="0" distL="0" distR="0" wp14:anchorId="7A960635" wp14:editId="5E304616">
            <wp:extent cx="7200900" cy="43884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7384E" w14:textId="77777777" w:rsidR="00CA402F" w:rsidRDefault="00CA402F" w:rsidP="00CA402F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Способ дублирования замещением</w:t>
      </w:r>
    </w:p>
    <w:p w14:paraId="5407F701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электроснабжении широко используется метод повышения надежности системы за счет использования резервной цепи, находящейся в ненагруженном состоянии. Последняя автоматически включается при отказе основной цепи.</w:t>
      </w:r>
    </w:p>
    <w:p w14:paraId="509BC624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Примем некоторые допущения:</w:t>
      </w:r>
    </w:p>
    <w:p w14:paraId="030D38AF" w14:textId="77777777" w:rsidR="00CA402F" w:rsidRDefault="00CA402F" w:rsidP="00CA402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выключатель </w:t>
      </w:r>
      <w:r>
        <w:rPr>
          <w:rStyle w:val="form"/>
          <w:i/>
          <w:iCs/>
          <w:color w:val="000000"/>
          <w:sz w:val="26"/>
          <w:szCs w:val="26"/>
        </w:rPr>
        <w:t>Q2</w:t>
      </w:r>
      <w:r>
        <w:rPr>
          <w:rFonts w:ascii="Arial" w:hAnsi="Arial" w:cs="Arial"/>
          <w:color w:val="000000"/>
          <w:sz w:val="21"/>
          <w:szCs w:val="21"/>
        </w:rPr>
        <w:t> и разъединитель </w:t>
      </w:r>
      <w:r>
        <w:rPr>
          <w:rStyle w:val="form"/>
          <w:i/>
          <w:iCs/>
          <w:color w:val="000000"/>
          <w:sz w:val="26"/>
          <w:szCs w:val="26"/>
        </w:rPr>
        <w:t>QS</w:t>
      </w:r>
      <w:r>
        <w:rPr>
          <w:rFonts w:ascii="Arial" w:hAnsi="Arial" w:cs="Arial"/>
          <w:color w:val="000000"/>
          <w:sz w:val="21"/>
          <w:szCs w:val="21"/>
        </w:rPr>
        <w:t> постоянно находятся во включенном состоянии;</w:t>
      </w:r>
    </w:p>
    <w:p w14:paraId="2D4450BE" w14:textId="77777777" w:rsidR="00CA402F" w:rsidRDefault="00CA402F" w:rsidP="00CA402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часть цепи, находящаяся слева от выключателя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Q2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резервируется способом нагруженного дублирования;</w:t>
      </w:r>
    </w:p>
    <w:p w14:paraId="30DA4139" w14:textId="77777777" w:rsidR="00CA402F" w:rsidRDefault="00CA402F" w:rsidP="00CA402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часть цепи, находящаяся справа от выключателя </w:t>
      </w:r>
      <w:r>
        <w:rPr>
          <w:rStyle w:val="form"/>
          <w:i/>
          <w:iCs/>
          <w:color w:val="000000"/>
          <w:sz w:val="26"/>
          <w:szCs w:val="26"/>
        </w:rPr>
        <w:t>Q2</w:t>
      </w:r>
      <w:r>
        <w:rPr>
          <w:rFonts w:ascii="Arial" w:hAnsi="Arial" w:cs="Arial"/>
          <w:color w:val="000000"/>
          <w:sz w:val="21"/>
          <w:szCs w:val="21"/>
        </w:rPr>
        <w:t> до разъединителя </w:t>
      </w:r>
      <w:r>
        <w:rPr>
          <w:rStyle w:val="form"/>
          <w:i/>
          <w:iCs/>
          <w:color w:val="000000"/>
          <w:sz w:val="26"/>
          <w:szCs w:val="26"/>
        </w:rPr>
        <w:t>QS</w:t>
      </w:r>
      <w:r>
        <w:rPr>
          <w:rFonts w:ascii="Arial" w:hAnsi="Arial" w:cs="Arial"/>
          <w:color w:val="000000"/>
          <w:sz w:val="21"/>
          <w:szCs w:val="21"/>
        </w:rPr>
        <w:t> резервируется способом дублирования замещением.</w:t>
      </w:r>
    </w:p>
    <w:p w14:paraId="4004FB07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Составим схему для расчета вероятности безотказной работы питающей сети при дублировании замещением:</w:t>
      </w:r>
    </w:p>
    <w:p w14:paraId="272B8368" w14:textId="05EA55B8" w:rsidR="00CA402F" w:rsidRDefault="00CA402F" w:rsidP="00CA402F">
      <w:r>
        <w:rPr>
          <w:noProof/>
        </w:rPr>
        <w:lastRenderedPageBreak/>
        <w:drawing>
          <wp:inline distT="0" distB="0" distL="0" distR="0" wp14:anchorId="4D78B92E" wp14:editId="1B68289A">
            <wp:extent cx="7200900" cy="50101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5BDF5" w14:textId="77777777" w:rsidR="00CA402F" w:rsidRDefault="00CA402F" w:rsidP="00CA402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5. Сравнение способов резервирования по уровню надежности</w:t>
      </w:r>
    </w:p>
    <w:p w14:paraId="5515685F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 расчетов предыдущего пункта видно, что значения вероятности безотказной работы схемы нагруженного дублирования и схемы дублирования замещением близки друг к другу. Однако при дублировании замещением вероятность безотказной работы составляет </w:t>
      </w:r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C</w:t>
      </w:r>
      <w:r>
        <w:rPr>
          <w:rFonts w:ascii="Arial" w:hAnsi="Arial" w:cs="Arial"/>
          <w:color w:val="000000"/>
          <w:sz w:val="21"/>
          <w:szCs w:val="21"/>
        </w:rPr>
        <w:t> = 0,422, что в 1,119 раз больше, чем при нагруженном дублировании.</w:t>
      </w:r>
    </w:p>
    <w:p w14:paraId="09E7290C" w14:textId="153A1A2F" w:rsidR="00CA402F" w:rsidRDefault="00CA402F" w:rsidP="00CA402F">
      <w:r>
        <w:rPr>
          <w:noProof/>
        </w:rPr>
        <w:drawing>
          <wp:inline distT="0" distB="0" distL="0" distR="0" wp14:anchorId="53B0924C" wp14:editId="33D53409">
            <wp:extent cx="7200900" cy="145161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41030" w14:textId="77777777" w:rsidR="00CA402F" w:rsidRDefault="00CA402F" w:rsidP="00CA402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Рассмотрим рисунок 5.1. В первоначальный момент времени интенсивность отказов дублированной системы очень низкая </w:t>
      </w:r>
      <w:r>
        <w:rPr>
          <w:rStyle w:val="form"/>
          <w:i/>
          <w:iCs/>
          <w:color w:val="000000"/>
          <w:sz w:val="26"/>
          <w:szCs w:val="26"/>
        </w:rPr>
        <w:t>λ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Style w:val="form"/>
          <w:i/>
          <w:iCs/>
          <w:color w:val="000000"/>
          <w:sz w:val="26"/>
          <w:szCs w:val="26"/>
        </w:rPr>
        <w:t> 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&gt; 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(t = 0)</w:t>
      </w:r>
      <w:r>
        <w:rPr>
          <w:rFonts w:ascii="Arial" w:hAnsi="Arial" w:cs="Arial"/>
          <w:color w:val="000000"/>
          <w:sz w:val="21"/>
          <w:szCs w:val="21"/>
        </w:rPr>
        <w:t xml:space="preserve">. Если такую дублированную систему включить на длительный срок, то выигрыш в надежности уменьшается. Это объясняется тем, что с увеличением времени возрастает вероятность отказа основной цепи. При ее отказе вводится в работу резервная цепь с интенсивностью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отказов </w:t>
      </w:r>
      <w:r>
        <w:rPr>
          <w:rStyle w:val="form"/>
          <w:i/>
          <w:iCs/>
          <w:color w:val="000000"/>
          <w:sz w:val="26"/>
          <w:szCs w:val="26"/>
        </w:rPr>
        <w:t> λ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6CDAA32" w14:textId="77777777" w:rsidR="00CA402F" w:rsidRDefault="00CA402F" w:rsidP="00CA402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Ненагруженный резерв желателен, но не всегда осуществим: например, оборудование электроустановок, отключенное от напряжения, все же находится под воздействием окружающей среды, метеоусловий и т.д. Поэтому не включенные в работу резервные элементы будут так же иметь некоторую интенсивность отказов. Так же следует иметь ввиду, что при расчетах допускается абсолютная надежность переключателей.</w:t>
      </w:r>
    </w:p>
    <w:p w14:paraId="4179798B" w14:textId="77777777" w:rsidR="00CA402F" w:rsidRDefault="00CA402F" w:rsidP="00CA402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4167DFE3" wp14:editId="64AFA183">
            <wp:extent cx="7200900" cy="136906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Рассмотрим рисунок 5.2. Из рисунка видно, что интенсивность отказов системы со временем возрастает. Это говорит о том, что при большом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 вероятность отказа одной из цепей высока, и система может перейти в режим работы с одной цепью</w:t>
      </w:r>
      <w:r>
        <w:rPr>
          <w:rStyle w:val="form"/>
          <w:i/>
          <w:iCs/>
          <w:color w:val="000000"/>
          <w:sz w:val="26"/>
          <w:szCs w:val="26"/>
        </w:rPr>
        <w:t> λ = λ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C38A37C" w14:textId="77777777" w:rsidR="00CA402F" w:rsidRDefault="00CA402F" w:rsidP="00CA402F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нагруженного дублирования имеет достаточно высокий уровень надежности. Но если дублированную неремонтируемую систему включить на значительный срок без технического обслуживания, то уровень надежности системы окажется недопустимо низким.</w:t>
      </w:r>
    </w:p>
    <w:p w14:paraId="41CBDCDD" w14:textId="77777777" w:rsidR="00CA402F" w:rsidRDefault="00CA402F" w:rsidP="00CA402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6. Вероятности безотказной работы схемы при различных траекториях питания потребителей</w:t>
      </w:r>
    </w:p>
    <w:p w14:paraId="44E4D224" w14:textId="77777777" w:rsidR="00CA402F" w:rsidRDefault="00CA402F" w:rsidP="00CA402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Траектория питания потребителей №1.</w:t>
      </w:r>
    </w:p>
    <w:p w14:paraId="710B398A" w14:textId="7443ED5F" w:rsidR="00CA402F" w:rsidRDefault="00CA402F" w:rsidP="00CA402F">
      <w:r>
        <w:rPr>
          <w:noProof/>
        </w:rPr>
        <w:lastRenderedPageBreak/>
        <w:drawing>
          <wp:inline distT="0" distB="0" distL="0" distR="0" wp14:anchorId="0D557355" wp14:editId="68DB9B61">
            <wp:extent cx="7200900" cy="52120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3CD25B" wp14:editId="47B134D0">
            <wp:extent cx="7200900" cy="34182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4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E6579" w14:textId="77777777" w:rsidR="00CA402F" w:rsidRDefault="00CA402F" w:rsidP="00CA402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7. Расчет вероятности безотказной работы схем резервирования (без резервирования, нагруженного дублирования и дублирования замещением)</w:t>
      </w:r>
    </w:p>
    <w:p w14:paraId="7EE7B9E8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Определим вероятность безотказной работы основной схемы (без резервирования). Составим расчетную схему:</w:t>
      </w:r>
    </w:p>
    <w:p w14:paraId="6CF63F3C" w14:textId="5546C278" w:rsidR="00CA402F" w:rsidRDefault="00CA402F" w:rsidP="00CA402F">
      <w:r>
        <w:rPr>
          <w:noProof/>
        </w:rPr>
        <w:drawing>
          <wp:inline distT="0" distB="0" distL="0" distR="0" wp14:anchorId="73EB487A" wp14:editId="4A811671">
            <wp:extent cx="7200900" cy="1597660"/>
            <wp:effectExtent l="0" t="0" r="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59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80FD6" w14:textId="77777777" w:rsidR="00CA402F" w:rsidRPr="00CA402F" w:rsidRDefault="00CA402F" w:rsidP="00CA402F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расчета вероятности безотказной работы для схем нагруженного дублирования и дублирования замещением при </w:t>
      </w:r>
      <w:r w:rsidRPr="00CA40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40000 ч были представлены в п. 5.</w:t>
      </w:r>
    </w:p>
    <w:p w14:paraId="44D46F4A" w14:textId="77777777" w:rsidR="00CA402F" w:rsidRPr="00CA402F" w:rsidRDefault="00CA402F" w:rsidP="00CA402F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Построим график, на котором изображены кривые </w:t>
      </w:r>
      <w:r w:rsidRPr="00CA40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 w:rsidRPr="00CA40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системы при нагруженном дублировании, дублировании замещением, без дублирования для интервала </w:t>
      </w:r>
      <w:r w:rsidRPr="00CA402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 </w:t>
      </w:r>
      <w:r w:rsidRPr="00CA402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0 - 40000 ч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7"/>
        <w:gridCol w:w="2692"/>
        <w:gridCol w:w="2693"/>
        <w:gridCol w:w="2708"/>
      </w:tblGrid>
      <w:tr w:rsidR="00CA402F" w:rsidRPr="00CA402F" w14:paraId="33EDCE39" w14:textId="77777777" w:rsidTr="00CA402F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4BE4F1D" w14:textId="77777777" w:rsidR="00CA402F" w:rsidRPr="00CA402F" w:rsidRDefault="00CA402F" w:rsidP="00CA402F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CA402F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7.1 - Данные для построения графиков</w:t>
            </w:r>
          </w:p>
        </w:tc>
      </w:tr>
      <w:tr w:rsidR="00CA402F" w:rsidRPr="00CA402F" w14:paraId="08DD0CCB" w14:textId="77777777" w:rsidTr="00CA402F">
        <w:trPr>
          <w:tblCellSpacing w:w="15" w:type="dxa"/>
        </w:trPr>
        <w:tc>
          <w:tcPr>
            <w:tcW w:w="186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50D2D8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Время</w:t>
            </w:r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 t</w:t>
            </w:r>
            <w:r w:rsidRPr="00CA402F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ч</w:t>
            </w:r>
          </w:p>
        </w:tc>
        <w:tc>
          <w:tcPr>
            <w:tcW w:w="186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597B509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Р</w:t>
            </w:r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снд</w:t>
            </w:r>
            <w:proofErr w:type="spellEnd"/>
          </w:p>
        </w:tc>
        <w:tc>
          <w:tcPr>
            <w:tcW w:w="186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808E7D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Р</w:t>
            </w:r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сдз</w:t>
            </w:r>
            <w:proofErr w:type="spellEnd"/>
          </w:p>
        </w:tc>
        <w:tc>
          <w:tcPr>
            <w:tcW w:w="186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8B23D0E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Р</w:t>
            </w:r>
            <w:r w:rsidRPr="00CA40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сбд</w:t>
            </w:r>
            <w:proofErr w:type="spellEnd"/>
          </w:p>
        </w:tc>
      </w:tr>
      <w:tr w:rsidR="00CA402F" w:rsidRPr="00CA402F" w14:paraId="79FBD00D" w14:textId="77777777" w:rsidTr="00CA402F">
        <w:trPr>
          <w:tblCellSpacing w:w="15" w:type="dxa"/>
        </w:trPr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407EE5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50E50A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6FA645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A85CD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CA402F" w:rsidRPr="00CA402F" w14:paraId="6B7F4B50" w14:textId="77777777" w:rsidTr="00CA402F">
        <w:trPr>
          <w:tblCellSpacing w:w="15" w:type="dxa"/>
        </w:trPr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6986F8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6BC8DD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0,999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0587EC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0,999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3C4711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0,979</w:t>
            </w:r>
          </w:p>
        </w:tc>
      </w:tr>
      <w:tr w:rsidR="00CA402F" w:rsidRPr="00CA402F" w14:paraId="66555212" w14:textId="77777777" w:rsidTr="00CA402F">
        <w:trPr>
          <w:tblCellSpacing w:w="15" w:type="dxa"/>
        </w:trPr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792ABC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692CB5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0,998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E527B8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0,998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31A360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0,958</w:t>
            </w:r>
          </w:p>
        </w:tc>
      </w:tr>
      <w:tr w:rsidR="00CA402F" w:rsidRPr="00CA402F" w14:paraId="7D79206D" w14:textId="77777777" w:rsidTr="00CA402F">
        <w:trPr>
          <w:tblCellSpacing w:w="15" w:type="dxa"/>
        </w:trPr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3A5F38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5000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63C9A6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0,97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3BCB2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0,974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ECAB6B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</w:t>
            </w:r>
          </w:p>
        </w:tc>
      </w:tr>
      <w:tr w:rsidR="00CA402F" w:rsidRPr="00CA402F" w14:paraId="371F5A23" w14:textId="77777777" w:rsidTr="00CA402F">
        <w:trPr>
          <w:tblCellSpacing w:w="15" w:type="dxa"/>
        </w:trPr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DDFFC4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A9D9F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1AE74B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0,913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27DB92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0,65</w:t>
            </w:r>
          </w:p>
        </w:tc>
      </w:tr>
      <w:tr w:rsidR="00CA402F" w:rsidRPr="00CA402F" w14:paraId="16314D02" w14:textId="77777777" w:rsidTr="00CA402F">
        <w:trPr>
          <w:tblCellSpacing w:w="15" w:type="dxa"/>
        </w:trPr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D1D259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15000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7F6DCF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0,825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A470FF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0,833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8FB577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0,53</w:t>
            </w:r>
          </w:p>
        </w:tc>
      </w:tr>
      <w:tr w:rsidR="00CA402F" w:rsidRPr="00CA402F" w14:paraId="08FE0759" w14:textId="77777777" w:rsidTr="00CA402F">
        <w:trPr>
          <w:tblCellSpacing w:w="15" w:type="dxa"/>
        </w:trPr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63F0BB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20000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17402E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0,73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05DD23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0,745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013293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0,429</w:t>
            </w:r>
          </w:p>
        </w:tc>
      </w:tr>
      <w:tr w:rsidR="00CA402F" w:rsidRPr="00CA402F" w14:paraId="6E2C4E57" w14:textId="77777777" w:rsidTr="00CA402F">
        <w:trPr>
          <w:tblCellSpacing w:w="15" w:type="dxa"/>
        </w:trPr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6CA1EC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25000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8CA43E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0,642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859944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0,657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55AF21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0,384</w:t>
            </w:r>
          </w:p>
        </w:tc>
      </w:tr>
      <w:tr w:rsidR="00CA402F" w:rsidRPr="00CA402F" w14:paraId="08E29043" w14:textId="77777777" w:rsidTr="00CA402F">
        <w:trPr>
          <w:tblCellSpacing w:w="15" w:type="dxa"/>
        </w:trPr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C65924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568588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0,555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4D88DF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0,472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88C461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0,281</w:t>
            </w:r>
          </w:p>
        </w:tc>
      </w:tr>
      <w:tr w:rsidR="00CA402F" w:rsidRPr="00CA402F" w14:paraId="61DFA4D1" w14:textId="77777777" w:rsidTr="00CA402F">
        <w:trPr>
          <w:tblCellSpacing w:w="15" w:type="dxa"/>
        </w:trPr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C517B4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35000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2B4B88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0,474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FD4CB0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0,494</w:t>
            </w:r>
          </w:p>
        </w:tc>
        <w:tc>
          <w:tcPr>
            <w:tcW w:w="18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73E330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0,227</w:t>
            </w:r>
          </w:p>
        </w:tc>
      </w:tr>
      <w:tr w:rsidR="00CA402F" w:rsidRPr="00CA402F" w14:paraId="105C309C" w14:textId="77777777" w:rsidTr="00CA402F">
        <w:trPr>
          <w:tblCellSpacing w:w="15" w:type="dxa"/>
        </w:trPr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C2D3D8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40000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45F137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0,4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43AC77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0,422</w:t>
            </w:r>
          </w:p>
        </w:tc>
        <w:tc>
          <w:tcPr>
            <w:tcW w:w="186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3C10C4" w14:textId="77777777" w:rsidR="00CA402F" w:rsidRPr="00CA402F" w:rsidRDefault="00CA402F" w:rsidP="00CA402F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402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0,184</w:t>
            </w:r>
          </w:p>
        </w:tc>
      </w:tr>
    </w:tbl>
    <w:p w14:paraId="169F5222" w14:textId="55D14D03" w:rsidR="00CA402F" w:rsidRDefault="00CA402F" w:rsidP="00CA402F"/>
    <w:p w14:paraId="59845D01" w14:textId="0656472C" w:rsidR="00CA402F" w:rsidRDefault="00CA402F" w:rsidP="00CA402F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7847B67A" wp14:editId="58A90A38">
            <wp:extent cx="7200900" cy="287020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Полученные зависимости на рисунке 7.2 показывают, на сколько повышается надежность системы, переведенной в режим дублирования, а также разницу между вероятностями безотказной работы схем нагруженного дублирования и дублирования замещением. На графике видно, что различие между способами дублирования невелико и проявляется после некоторого времени работы.</w:t>
      </w:r>
    </w:p>
    <w:p w14:paraId="4716D928" w14:textId="77777777" w:rsidR="00CA402F" w:rsidRDefault="00CA402F" w:rsidP="00CA402F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Заключение</w:t>
      </w:r>
    </w:p>
    <w:p w14:paraId="5295A401" w14:textId="77777777" w:rsidR="00CA402F" w:rsidRDefault="00CA402F" w:rsidP="00CA402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Надежность технического объекта любой сложности должна обеспечиваться на всех этапах его жизненного цикла: от начальной стадии выполнения проектно-конструкторской разработки до заключительной стадии эксплуатации. Основные условия обеспечения надежности состоят в строгом выполнении правила, называемого триадой надежности: надежность закладывается при проектировании, обеспечивается при изготовлении и поддерживается в эксплуатации. Без строгого выполнения этого правила нельзя решить задачу создания высоконадежных изделий и систем путем компенсации недоработок предыдущего этапа на последующем.</w:t>
      </w:r>
    </w:p>
    <w:p w14:paraId="36F516F3" w14:textId="2C024D46" w:rsidR="00CA402F" w:rsidRDefault="00CA402F" w:rsidP="00CA402F">
      <w:pPr>
        <w:rPr>
          <w:noProof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Немаловажным способом повышения надежности систем является резервирование. В данной контрольной работе заочника были рассмотрены два вида резервирования: нагруженное дублирование и дублирование замещением. Расчеты показали, что данные способы дублирования имеют практически одинаковую вероятность безотказной работы и различие между ними становится заметным лишь по прошествии длительного времени (около 5 лет). В этих условиях выбор схемы включения системы может определить экономический фактор.</w:t>
      </w:r>
      <w:r w:rsidRPr="00CA402F">
        <w:rPr>
          <w:noProof/>
        </w:rPr>
        <w:t xml:space="preserve"> </w:t>
      </w:r>
      <w:r>
        <w:rPr>
          <w:noProof/>
        </w:rPr>
        <w:drawing>
          <wp:inline distT="0" distB="0" distL="0" distR="0" wp14:anchorId="68158983" wp14:editId="5EACF365">
            <wp:extent cx="7200900" cy="90297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F0EBA" w14:textId="77777777" w:rsidR="00CA402F" w:rsidRDefault="00CA402F" w:rsidP="00CA402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Список рекомендуемой литературы</w:t>
      </w:r>
    </w:p>
    <w:p w14:paraId="2A34C2AC" w14:textId="77777777" w:rsidR="00CA402F" w:rsidRDefault="00CA402F" w:rsidP="00CA402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Балабанов В.Н. Надежность электроустановок: Учебно-методическое пособие. – Хабаровск: ДВГУПС, 1999, - 97с.</w:t>
      </w:r>
    </w:p>
    <w:p w14:paraId="451D16CD" w14:textId="77777777" w:rsidR="00CA402F" w:rsidRDefault="00CA402F" w:rsidP="00CA402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Ефимов А.В., Галкин А.Г. Надежность и диагностика систем электроснабжения железных дорог: Учебник для вузов ж/д транспорта. – М.: УМК МПС России, 2000 – 512с.</w:t>
      </w:r>
    </w:p>
    <w:p w14:paraId="080099E8" w14:textId="77777777" w:rsidR="00CA402F" w:rsidRDefault="00CA402F" w:rsidP="00CA402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Анищенко В.А. Надежность систем электроснабжения: Учебное пособие. – Мн.: УП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Технопринт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», 2001. – 160с.</w:t>
      </w:r>
    </w:p>
    <w:p w14:paraId="6F5B3943" w14:textId="77777777" w:rsidR="00CA402F" w:rsidRDefault="00CA402F" w:rsidP="00CA402F"/>
    <w:sectPr w:rsidR="00CA402F" w:rsidSect="00CA402F">
      <w:pgSz w:w="11906" w:h="16838"/>
      <w:pgMar w:top="284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138D"/>
    <w:multiLevelType w:val="multilevel"/>
    <w:tmpl w:val="90127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C1BAD"/>
    <w:multiLevelType w:val="multilevel"/>
    <w:tmpl w:val="D5C81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9233A1"/>
    <w:multiLevelType w:val="multilevel"/>
    <w:tmpl w:val="D4AC6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2422B9"/>
    <w:multiLevelType w:val="multilevel"/>
    <w:tmpl w:val="8DE63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F639CD"/>
    <w:multiLevelType w:val="multilevel"/>
    <w:tmpl w:val="4A4C9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D2"/>
    <w:rsid w:val="00C7741A"/>
    <w:rsid w:val="00CA402F"/>
    <w:rsid w:val="00E7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9BE17"/>
  <w15:chartTrackingRefBased/>
  <w15:docId w15:val="{D8796580-9B6D-4E19-98A7-EC375E77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40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0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0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CA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A402F"/>
    <w:rPr>
      <w:i/>
      <w:iCs/>
    </w:rPr>
  </w:style>
  <w:style w:type="character" w:styleId="a4">
    <w:name w:val="Hyperlink"/>
    <w:basedOn w:val="a0"/>
    <w:uiPriority w:val="99"/>
    <w:semiHidden/>
    <w:unhideWhenUsed/>
    <w:rsid w:val="00CA402F"/>
    <w:rPr>
      <w:color w:val="0000FF"/>
      <w:u w:val="single"/>
    </w:rPr>
  </w:style>
  <w:style w:type="paragraph" w:customStyle="1" w:styleId="gde">
    <w:name w:val="gde"/>
    <w:basedOn w:val="a"/>
    <w:rsid w:val="00CA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CA402F"/>
  </w:style>
  <w:style w:type="character" w:customStyle="1" w:styleId="gde1">
    <w:name w:val="gde1"/>
    <w:basedOn w:val="a0"/>
    <w:rsid w:val="00CA402F"/>
  </w:style>
  <w:style w:type="character" w:customStyle="1" w:styleId="20">
    <w:name w:val="Заголовок 2 Знак"/>
    <w:basedOn w:val="a0"/>
    <w:link w:val="2"/>
    <w:uiPriority w:val="9"/>
    <w:semiHidden/>
    <w:rsid w:val="00CA40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Strong"/>
    <w:basedOn w:val="a0"/>
    <w:uiPriority w:val="22"/>
    <w:qFormat/>
    <w:rsid w:val="00CA40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50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1834965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49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692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3741540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638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194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479138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235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39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422861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273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514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561364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936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04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710308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133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85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050686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14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715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664996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564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138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834043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962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262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214468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913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121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6059212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136419/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1898</Words>
  <Characters>10824</Characters>
  <Application>Microsoft Office Word</Application>
  <DocSecurity>0</DocSecurity>
  <Lines>90</Lines>
  <Paragraphs>25</Paragraphs>
  <ScaleCrop>false</ScaleCrop>
  <Company/>
  <LinksUpToDate>false</LinksUpToDate>
  <CharactersWithSpaces>12697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2023-05-16T11:47:00Z</dcterms:created>
  <dcterms:modified xsi:type="dcterms:W3CDTF">2023-05-16T11:57:00Z</dcterms:modified>
</cp:coreProperties>
</file>