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9EDB8" w14:textId="49A731F4" w:rsidR="00BB66BB" w:rsidRDefault="00BB66BB" w:rsidP="008930B1">
      <w:pPr>
        <w:jc w:val="center"/>
        <w:rPr>
          <w:rFonts w:ascii="Times New Roman" w:hAnsi="Times New Roman" w:cs="Times New Roman"/>
          <w:sz w:val="24"/>
          <w:szCs w:val="24"/>
        </w:rPr>
      </w:pPr>
      <w:r w:rsidRPr="00BB66BB">
        <w:rPr>
          <w:rFonts w:ascii="Times New Roman" w:hAnsi="Times New Roman" w:cs="Times New Roman"/>
          <w:sz w:val="24"/>
          <w:szCs w:val="24"/>
        </w:rPr>
        <w:t>Что такое нефинансовая отчетность и ее значение для компаний в России</w:t>
      </w:r>
    </w:p>
    <w:p w14:paraId="2E344292" w14:textId="291C21B7" w:rsidR="00BB66BB" w:rsidRDefault="00BB66BB" w:rsidP="008930B1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8D380F">
          <w:rPr>
            <w:rStyle w:val="a4"/>
            <w:rFonts w:ascii="Times New Roman" w:hAnsi="Times New Roman" w:cs="Times New Roman"/>
            <w:sz w:val="24"/>
            <w:szCs w:val="24"/>
          </w:rPr>
          <w:t>https://rb.ru/story/nefinansovaya-otchetnost/</w:t>
        </w:r>
      </w:hyperlink>
    </w:p>
    <w:p w14:paraId="7350ACCB" w14:textId="77777777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sz w:val="24"/>
          <w:szCs w:val="24"/>
        </w:rPr>
        <w:t>Концепция долгосрочного устойчивого развития компании (предприятия, фирмы) включает три ключевых направления:</w:t>
      </w:r>
    </w:p>
    <w:p w14:paraId="58ECE9DE" w14:textId="77777777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sz w:val="24"/>
          <w:szCs w:val="24"/>
        </w:rPr>
        <w:t>1) экономика</w:t>
      </w:r>
    </w:p>
    <w:p w14:paraId="677000A5" w14:textId="77777777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sz w:val="24"/>
          <w:szCs w:val="24"/>
        </w:rPr>
        <w:t>2) экология (окружающая среда)</w:t>
      </w:r>
    </w:p>
    <w:p w14:paraId="75C38C99" w14:textId="77777777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sz w:val="24"/>
          <w:szCs w:val="24"/>
        </w:rPr>
        <w:t>3) социальная ответственность (корпоративная социальная ответственность, КСО).</w:t>
      </w:r>
    </w:p>
    <w:p w14:paraId="69F5B5DA" w14:textId="77777777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E582C" w14:textId="77777777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sz w:val="24"/>
          <w:szCs w:val="24"/>
        </w:rPr>
        <w:t xml:space="preserve"> Стратегия по устойчивому развитию основана на глубоком анализе и понимании «следа» компании, т.е. какое она оказывает влияние на общество и окружающую среду.</w:t>
      </w:r>
    </w:p>
    <w:p w14:paraId="629939A5" w14:textId="77777777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5487B" w14:textId="07DBE9F1" w:rsidR="005B49F6" w:rsidRP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sz w:val="24"/>
          <w:szCs w:val="24"/>
        </w:rPr>
        <w:t>Глоссарий</w:t>
      </w:r>
    </w:p>
    <w:p w14:paraId="65593306" w14:textId="7214B257" w:rsidR="005B49F6" w:rsidRDefault="005B49F6" w:rsidP="005B4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sz w:val="24"/>
          <w:szCs w:val="24"/>
        </w:rPr>
        <w:t>Нефинансовый отчет (отчет в области устойчивого развития) – инструмент анализа и оценки деятельности компании в экономической, социальной и экологической областях, а также способ информирования заинтересованных сторон о достигнутых результатах.</w:t>
      </w:r>
    </w:p>
    <w:p w14:paraId="77139BC4" w14:textId="77777777" w:rsidR="005B49F6" w:rsidRDefault="005B49F6" w:rsidP="00A0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D2C5A" w14:textId="2A0759FA" w:rsidR="00A0486E" w:rsidRPr="005B49F6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49F6">
        <w:rPr>
          <w:rFonts w:ascii="Times New Roman" w:hAnsi="Times New Roman" w:cs="Times New Roman"/>
          <w:b/>
          <w:bCs/>
          <w:sz w:val="24"/>
          <w:szCs w:val="24"/>
        </w:rPr>
        <w:t xml:space="preserve">Для выполнения задания выберете крупную компанию с публичной отчетностью. </w:t>
      </w:r>
    </w:p>
    <w:p w14:paraId="2C734D3D" w14:textId="5CFB3DB4" w:rsidR="00A0486E" w:rsidRPr="005B49F6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49F6">
        <w:rPr>
          <w:rFonts w:ascii="Times New Roman" w:hAnsi="Times New Roman" w:cs="Times New Roman"/>
          <w:b/>
          <w:bCs/>
          <w:sz w:val="24"/>
          <w:szCs w:val="24"/>
        </w:rPr>
        <w:t>Задание выполняется по конкретной выбранной компании.</w:t>
      </w:r>
    </w:p>
    <w:p w14:paraId="1DBF67A9" w14:textId="77777777" w:rsidR="00A0486E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6EE15" w14:textId="497EBA57" w:rsidR="00A0486E" w:rsidRPr="00A0486E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86E">
        <w:rPr>
          <w:rFonts w:ascii="Times New Roman" w:hAnsi="Times New Roman" w:cs="Times New Roman"/>
          <w:sz w:val="24"/>
          <w:szCs w:val="24"/>
        </w:rPr>
        <w:t>Для выполнения задания необходимо:</w:t>
      </w:r>
    </w:p>
    <w:p w14:paraId="2DC87C10" w14:textId="1AAA66BE" w:rsidR="00A0486E" w:rsidRPr="00A0486E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86E">
        <w:rPr>
          <w:rFonts w:ascii="Times New Roman" w:hAnsi="Times New Roman" w:cs="Times New Roman"/>
          <w:sz w:val="24"/>
          <w:szCs w:val="24"/>
        </w:rPr>
        <w:t>-</w:t>
      </w:r>
      <w:r w:rsidR="005B49F6">
        <w:rPr>
          <w:rFonts w:ascii="Times New Roman" w:hAnsi="Times New Roman" w:cs="Times New Roman"/>
          <w:sz w:val="24"/>
          <w:szCs w:val="24"/>
        </w:rPr>
        <w:t xml:space="preserve"> </w:t>
      </w:r>
      <w:r w:rsidRPr="00A0486E">
        <w:rPr>
          <w:rFonts w:ascii="Times New Roman" w:hAnsi="Times New Roman" w:cs="Times New Roman"/>
          <w:sz w:val="24"/>
          <w:szCs w:val="24"/>
        </w:rPr>
        <w:t>изучить миссию, стратегию и программы компании;</w:t>
      </w:r>
    </w:p>
    <w:p w14:paraId="2BAEC679" w14:textId="5D9CC7E8" w:rsidR="00A0486E" w:rsidRPr="00A0486E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86E">
        <w:rPr>
          <w:rFonts w:ascii="Times New Roman" w:hAnsi="Times New Roman" w:cs="Times New Roman"/>
          <w:sz w:val="24"/>
          <w:szCs w:val="24"/>
        </w:rPr>
        <w:t>- изучить и проанализировать финансовые и нефинансовые отчеты, направления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486E">
        <w:rPr>
          <w:rFonts w:ascii="Times New Roman" w:hAnsi="Times New Roman" w:cs="Times New Roman"/>
          <w:sz w:val="24"/>
          <w:szCs w:val="24"/>
        </w:rPr>
        <w:t>ответственности, выбранной компании</w:t>
      </w:r>
    </w:p>
    <w:p w14:paraId="6B00D8DC" w14:textId="3B807106" w:rsidR="00A0486E" w:rsidRPr="005B49F6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486E">
        <w:rPr>
          <w:rFonts w:ascii="Times New Roman" w:hAnsi="Times New Roman" w:cs="Times New Roman"/>
          <w:sz w:val="24"/>
          <w:szCs w:val="24"/>
        </w:rPr>
        <w:t xml:space="preserve"> </w:t>
      </w:r>
      <w:r w:rsidRPr="005B49F6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</w:p>
    <w:p w14:paraId="17323EC2" w14:textId="5C3FA437" w:rsidR="00A0486E" w:rsidRPr="00A0486E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A0486E">
        <w:rPr>
          <w:rFonts w:ascii="Times New Roman" w:hAnsi="Times New Roman" w:cs="Times New Roman"/>
          <w:sz w:val="24"/>
          <w:szCs w:val="24"/>
        </w:rPr>
        <w:t>Проанализировать и сравнить отражение внешней концепции управления устойчивым развитием компании в миссии, стратегии и программах компании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FA620DA" w14:textId="302BAD2C" w:rsidR="00A0486E" w:rsidRPr="00A0486E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0486E">
        <w:rPr>
          <w:rFonts w:ascii="Times New Roman" w:hAnsi="Times New Roman" w:cs="Times New Roman"/>
          <w:sz w:val="24"/>
          <w:szCs w:val="24"/>
        </w:rPr>
        <w:t>Проанализировать нефин</w:t>
      </w:r>
      <w:r>
        <w:rPr>
          <w:rFonts w:ascii="Times New Roman" w:hAnsi="Times New Roman" w:cs="Times New Roman"/>
          <w:sz w:val="24"/>
          <w:szCs w:val="24"/>
        </w:rPr>
        <w:t>ан</w:t>
      </w:r>
      <w:r w:rsidRPr="00A0486E">
        <w:rPr>
          <w:rFonts w:ascii="Times New Roman" w:hAnsi="Times New Roman" w:cs="Times New Roman"/>
          <w:sz w:val="24"/>
          <w:szCs w:val="24"/>
        </w:rPr>
        <w:t xml:space="preserve">совый отчет компании </w:t>
      </w:r>
      <w:r w:rsidR="00ED7602">
        <w:rPr>
          <w:rFonts w:ascii="Times New Roman" w:hAnsi="Times New Roman" w:cs="Times New Roman"/>
          <w:sz w:val="24"/>
          <w:szCs w:val="24"/>
        </w:rPr>
        <w:t xml:space="preserve">(контент-анализ) </w:t>
      </w:r>
      <w:r w:rsidRPr="00A0486E">
        <w:rPr>
          <w:rFonts w:ascii="Times New Roman" w:hAnsi="Times New Roman" w:cs="Times New Roman"/>
          <w:sz w:val="24"/>
          <w:szCs w:val="24"/>
        </w:rPr>
        <w:t>на предмет соответствия принципам глобальной инициативы по представлению отчетности в области устойчивого развития GRI</w:t>
      </w:r>
      <w:r w:rsidR="005B49F6">
        <w:rPr>
          <w:rFonts w:ascii="Times New Roman" w:hAnsi="Times New Roman" w:cs="Times New Roman"/>
          <w:sz w:val="24"/>
          <w:szCs w:val="24"/>
        </w:rPr>
        <w:t xml:space="preserve"> (дополнительный материал в задании)</w:t>
      </w:r>
      <w:r w:rsidRPr="00A0486E">
        <w:rPr>
          <w:rFonts w:ascii="Times New Roman" w:hAnsi="Times New Roman" w:cs="Times New Roman"/>
          <w:sz w:val="24"/>
          <w:szCs w:val="24"/>
        </w:rPr>
        <w:t>.</w:t>
      </w:r>
    </w:p>
    <w:p w14:paraId="63472615" w14:textId="169F2B35" w:rsidR="00A0486E" w:rsidRPr="00A0486E" w:rsidRDefault="00A0486E" w:rsidP="00A048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0486E">
        <w:rPr>
          <w:rFonts w:ascii="Times New Roman" w:hAnsi="Times New Roman" w:cs="Times New Roman"/>
          <w:b/>
          <w:bCs/>
          <w:sz w:val="24"/>
          <w:szCs w:val="24"/>
        </w:rPr>
        <w:t>После к</w:t>
      </w:r>
      <w:r w:rsidRPr="00F209F7">
        <w:rPr>
          <w:rFonts w:ascii="Times New Roman" w:hAnsi="Times New Roman" w:cs="Times New Roman"/>
          <w:b/>
          <w:bCs/>
          <w:sz w:val="24"/>
          <w:szCs w:val="24"/>
        </w:rPr>
        <w:t>онтент-анализ</w:t>
      </w:r>
      <w:r w:rsidR="00ED760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F209F7">
        <w:rPr>
          <w:rFonts w:ascii="Times New Roman" w:hAnsi="Times New Roman" w:cs="Times New Roman"/>
          <w:b/>
          <w:bCs/>
          <w:sz w:val="24"/>
          <w:szCs w:val="24"/>
        </w:rPr>
        <w:t xml:space="preserve"> нефинансовой отчетности</w:t>
      </w:r>
      <w:r w:rsidR="005B49F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209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A0486E">
        <w:rPr>
          <w:rFonts w:ascii="Times New Roman" w:hAnsi="Times New Roman" w:cs="Times New Roman"/>
          <w:b/>
          <w:bCs/>
          <w:sz w:val="24"/>
          <w:szCs w:val="24"/>
        </w:rPr>
        <w:t>ценить предприятие</w:t>
      </w:r>
      <w:r w:rsidRPr="00A0486E">
        <w:rPr>
          <w:rFonts w:ascii="Times New Roman" w:hAnsi="Times New Roman" w:cs="Times New Roman"/>
          <w:b/>
          <w:bCs/>
          <w:sz w:val="24"/>
          <w:szCs w:val="24"/>
        </w:rPr>
        <w:t xml:space="preserve"> и сделать выводы с точки зрения концепции устойчивого развития (по 3 ключевым направлениям)</w:t>
      </w:r>
    </w:p>
    <w:p w14:paraId="4798FCBB" w14:textId="77777777" w:rsidR="00A0486E" w:rsidRDefault="00A0486E" w:rsidP="00A0486E">
      <w:pPr>
        <w:jc w:val="both"/>
        <w:rPr>
          <w:rFonts w:ascii="Times New Roman" w:hAnsi="Times New Roman" w:cs="Times New Roman"/>
        </w:rPr>
      </w:pPr>
    </w:p>
    <w:p w14:paraId="435D2CE8" w14:textId="5324731D" w:rsidR="00A0486E" w:rsidRPr="00A0486E" w:rsidRDefault="00A0486E" w:rsidP="00A0486E">
      <w:pPr>
        <w:jc w:val="both"/>
        <w:rPr>
          <w:rFonts w:ascii="Times New Roman" w:hAnsi="Times New Roman" w:cs="Times New Roman"/>
        </w:rPr>
      </w:pPr>
      <w:r w:rsidRPr="00A0486E">
        <w:rPr>
          <w:rFonts w:ascii="Times New Roman" w:hAnsi="Times New Roman" w:cs="Times New Roman"/>
        </w:rPr>
        <w:t>Результаты контент-анализа нефинансовой отчетности следует представить в виде</w:t>
      </w:r>
      <w:r>
        <w:rPr>
          <w:rFonts w:ascii="Times New Roman" w:hAnsi="Times New Roman" w:cs="Times New Roman"/>
        </w:rPr>
        <w:t>:</w:t>
      </w:r>
      <w:r w:rsidRPr="00A0486E">
        <w:rPr>
          <w:rFonts w:ascii="Times New Roman" w:hAnsi="Times New Roman" w:cs="Times New Roman"/>
        </w:rPr>
        <w:t xml:space="preserve"> </w:t>
      </w:r>
    </w:p>
    <w:p w14:paraId="19F8BC27" w14:textId="6890A85B" w:rsidR="009D4254" w:rsidRDefault="009D4254" w:rsidP="00A048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60C66" w14:textId="34F79AC1" w:rsidR="009D4254" w:rsidRPr="00F209F7" w:rsidRDefault="009D4254" w:rsidP="009D42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4938670"/>
      <w:bookmarkStart w:id="1" w:name="_Hlk184938905"/>
      <w:r w:rsidRPr="00F209F7">
        <w:rPr>
          <w:rFonts w:ascii="Times New Roman" w:hAnsi="Times New Roman" w:cs="Times New Roman"/>
          <w:b/>
          <w:bCs/>
          <w:sz w:val="24"/>
          <w:szCs w:val="24"/>
        </w:rPr>
        <w:t xml:space="preserve">Контент-анализ нефинансовой отчетности </w:t>
      </w:r>
      <w:bookmarkEnd w:id="0"/>
      <w:r w:rsidRPr="00F209F7">
        <w:rPr>
          <w:rFonts w:ascii="Times New Roman" w:hAnsi="Times New Roman" w:cs="Times New Roman"/>
          <w:b/>
          <w:bCs/>
          <w:sz w:val="24"/>
          <w:szCs w:val="24"/>
        </w:rPr>
        <w:t xml:space="preserve">компании </w:t>
      </w:r>
      <w:bookmarkEnd w:id="1"/>
      <w:r w:rsidRPr="00F209F7">
        <w:rPr>
          <w:rFonts w:ascii="Times New Roman" w:hAnsi="Times New Roman" w:cs="Times New Roman"/>
          <w:b/>
          <w:bCs/>
          <w:sz w:val="24"/>
          <w:szCs w:val="24"/>
        </w:rPr>
        <w:t>за 202__г.</w:t>
      </w:r>
    </w:p>
    <w:p w14:paraId="0CC66605" w14:textId="77777777" w:rsidR="009D4254" w:rsidRDefault="009D4254" w:rsidP="009D42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 (название организации) </w:t>
      </w:r>
      <w:r w:rsidRPr="00662D33">
        <w:rPr>
          <w:rFonts w:ascii="Times New Roman" w:hAnsi="Times New Roman" w:cs="Times New Roman"/>
          <w:sz w:val="24"/>
          <w:szCs w:val="24"/>
          <w:highlight w:val="magenta"/>
        </w:rPr>
        <w:t>ссылка на сайт</w:t>
      </w:r>
    </w:p>
    <w:p w14:paraId="324493CD" w14:textId="77777777" w:rsidR="009D4254" w:rsidRDefault="009D4254" w:rsidP="009D42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(отрасль)</w:t>
      </w:r>
    </w:p>
    <w:p w14:paraId="02EC2391" w14:textId="77777777" w:rsidR="00A0486E" w:rsidRDefault="00A0486E" w:rsidP="009D42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254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9D4254" w:rsidRPr="009D4254">
        <w:rPr>
          <w:rFonts w:ascii="Times New Roman" w:hAnsi="Times New Roman" w:cs="Times New Roman"/>
          <w:b/>
          <w:bCs/>
          <w:sz w:val="24"/>
          <w:szCs w:val="24"/>
        </w:rPr>
        <w:t>исси</w:t>
      </w:r>
      <w:r>
        <w:rPr>
          <w:rFonts w:ascii="Times New Roman" w:hAnsi="Times New Roman" w:cs="Times New Roman"/>
          <w:b/>
          <w:bCs/>
          <w:sz w:val="24"/>
          <w:szCs w:val="24"/>
        </w:rPr>
        <w:t>я компании:</w:t>
      </w:r>
    </w:p>
    <w:p w14:paraId="6E8CFECB" w14:textId="00A6E103" w:rsidR="009D4254" w:rsidRDefault="00A0486E" w:rsidP="009D42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9D4254" w:rsidRPr="009D4254">
        <w:rPr>
          <w:rFonts w:ascii="Times New Roman" w:hAnsi="Times New Roman" w:cs="Times New Roman"/>
          <w:b/>
          <w:bCs/>
          <w:sz w:val="24"/>
          <w:szCs w:val="24"/>
        </w:rPr>
        <w:t>тратеги</w:t>
      </w:r>
      <w:r>
        <w:rPr>
          <w:rFonts w:ascii="Times New Roman" w:hAnsi="Times New Roman" w:cs="Times New Roman"/>
          <w:b/>
          <w:bCs/>
          <w:sz w:val="24"/>
          <w:szCs w:val="24"/>
        </w:rPr>
        <w:t>я компании:</w:t>
      </w:r>
    </w:p>
    <w:p w14:paraId="0BE6EBFA" w14:textId="7C5F4953" w:rsidR="009D4254" w:rsidRDefault="009D4254" w:rsidP="009D4254">
      <w:pPr>
        <w:jc w:val="both"/>
        <w:rPr>
          <w:rFonts w:ascii="Times New Roman" w:hAnsi="Times New Roman" w:cs="Times New Roman"/>
          <w:sz w:val="24"/>
          <w:szCs w:val="24"/>
        </w:rPr>
      </w:pPr>
      <w:r w:rsidRPr="005B49F6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Ссылка на нефинансовую отчетность компании:</w:t>
      </w:r>
    </w:p>
    <w:p w14:paraId="0B04E403" w14:textId="77777777" w:rsidR="009D4254" w:rsidRDefault="009D4254" w:rsidP="009D425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134"/>
        <w:gridCol w:w="3118"/>
      </w:tblGrid>
      <w:tr w:rsidR="008930B1" w14:paraId="1580928F" w14:textId="77777777" w:rsidTr="00CB2055">
        <w:tc>
          <w:tcPr>
            <w:tcW w:w="4957" w:type="dxa"/>
          </w:tcPr>
          <w:p w14:paraId="18C20DD6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4939002"/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отчетности</w:t>
            </w:r>
            <w:bookmarkEnd w:id="2"/>
          </w:p>
        </w:tc>
        <w:tc>
          <w:tcPr>
            <w:tcW w:w="1134" w:type="dxa"/>
          </w:tcPr>
          <w:p w14:paraId="679992F9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118" w:type="dxa"/>
          </w:tcPr>
          <w:p w14:paraId="09A83832" w14:textId="3BB730ED" w:rsidR="008930B1" w:rsidRDefault="009D4254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209F7">
              <w:rPr>
                <w:rFonts w:ascii="Times New Roman" w:hAnsi="Times New Roman" w:cs="Times New Roman"/>
                <w:sz w:val="24"/>
                <w:szCs w:val="24"/>
              </w:rPr>
              <w:t xml:space="preserve">раткое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</w:t>
            </w:r>
            <w:r w:rsidR="00A048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B49F6">
              <w:rPr>
                <w:rFonts w:ascii="Times New Roman" w:hAnsi="Times New Roman" w:cs="Times New Roman"/>
                <w:sz w:val="24"/>
                <w:szCs w:val="24"/>
              </w:rPr>
              <w:t xml:space="preserve">/ обоснование бальной оценки. Информация по </w:t>
            </w:r>
            <w:r w:rsidR="005B49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показателю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r w:rsidRPr="005B49F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magenta"/>
              </w:rPr>
              <w:t>ссылкой на страницу нефинансовой отчетности</w:t>
            </w:r>
          </w:p>
        </w:tc>
      </w:tr>
      <w:tr w:rsidR="008930B1" w14:paraId="4575EBA1" w14:textId="77777777" w:rsidTr="00F65463">
        <w:tc>
          <w:tcPr>
            <w:tcW w:w="9209" w:type="dxa"/>
            <w:gridSpan w:val="3"/>
          </w:tcPr>
          <w:p w14:paraId="00833ADD" w14:textId="77777777" w:rsidR="008930B1" w:rsidRPr="00CB2055" w:rsidRDefault="008930B1" w:rsidP="008930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0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Экологические показатели</w:t>
            </w:r>
          </w:p>
        </w:tc>
      </w:tr>
      <w:tr w:rsidR="008930B1" w14:paraId="062454EB" w14:textId="77777777" w:rsidTr="00CB2055">
        <w:tc>
          <w:tcPr>
            <w:tcW w:w="4957" w:type="dxa"/>
          </w:tcPr>
          <w:p w14:paraId="57DD53EF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B1">
              <w:rPr>
                <w:rFonts w:ascii="Times New Roman" w:hAnsi="Times New Roman" w:cs="Times New Roman"/>
                <w:sz w:val="24"/>
                <w:szCs w:val="24"/>
              </w:rPr>
              <w:t>Потребление ресурсов</w:t>
            </w:r>
          </w:p>
        </w:tc>
        <w:tc>
          <w:tcPr>
            <w:tcW w:w="1134" w:type="dxa"/>
          </w:tcPr>
          <w:p w14:paraId="60E9D1F6" w14:textId="6D8533A9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528B7EB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B1" w14:paraId="6EA7A276" w14:textId="77777777" w:rsidTr="00CB2055">
        <w:tc>
          <w:tcPr>
            <w:tcW w:w="4957" w:type="dxa"/>
          </w:tcPr>
          <w:p w14:paraId="3ADA64BB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B1">
              <w:rPr>
                <w:rFonts w:ascii="Times New Roman" w:hAnsi="Times New Roman" w:cs="Times New Roman"/>
                <w:sz w:val="24"/>
                <w:szCs w:val="24"/>
              </w:rPr>
              <w:t>Воздействие на окружающую среду</w:t>
            </w:r>
          </w:p>
        </w:tc>
        <w:tc>
          <w:tcPr>
            <w:tcW w:w="1134" w:type="dxa"/>
          </w:tcPr>
          <w:p w14:paraId="67573DF6" w14:textId="2A1BB968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8F0F304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B1" w14:paraId="2E4C0B97" w14:textId="77777777" w:rsidTr="00CB2055">
        <w:tc>
          <w:tcPr>
            <w:tcW w:w="4957" w:type="dxa"/>
          </w:tcPr>
          <w:p w14:paraId="30108A0B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B1">
              <w:rPr>
                <w:rFonts w:ascii="Times New Roman" w:hAnsi="Times New Roman" w:cs="Times New Roman"/>
                <w:sz w:val="24"/>
                <w:szCs w:val="24"/>
              </w:rPr>
              <w:t>Расходы по обеспечению экологической безопасности</w:t>
            </w:r>
          </w:p>
        </w:tc>
        <w:tc>
          <w:tcPr>
            <w:tcW w:w="1134" w:type="dxa"/>
          </w:tcPr>
          <w:p w14:paraId="058CA789" w14:textId="04A48A8D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3D697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B1" w14:paraId="1A21A2C7" w14:textId="77777777" w:rsidTr="00CB2055">
        <w:tc>
          <w:tcPr>
            <w:tcW w:w="4957" w:type="dxa"/>
          </w:tcPr>
          <w:p w14:paraId="36656431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B1">
              <w:rPr>
                <w:rFonts w:ascii="Times New Roman" w:hAnsi="Times New Roman" w:cs="Times New Roman"/>
                <w:sz w:val="24"/>
                <w:szCs w:val="24"/>
              </w:rPr>
              <w:t>Сохранение биоразнообразия</w:t>
            </w:r>
          </w:p>
        </w:tc>
        <w:tc>
          <w:tcPr>
            <w:tcW w:w="1134" w:type="dxa"/>
          </w:tcPr>
          <w:p w14:paraId="6AC18646" w14:textId="3763E671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D49251E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B1" w14:paraId="02486421" w14:textId="77777777" w:rsidTr="007740C9">
        <w:tc>
          <w:tcPr>
            <w:tcW w:w="9209" w:type="dxa"/>
            <w:gridSpan w:val="3"/>
          </w:tcPr>
          <w:p w14:paraId="176E6C96" w14:textId="703D7259" w:rsidR="008930B1" w:rsidRPr="00CB2055" w:rsidRDefault="009D4254" w:rsidP="008930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055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Социальные показатели</w:t>
            </w:r>
          </w:p>
        </w:tc>
      </w:tr>
      <w:tr w:rsidR="008930B1" w14:paraId="198673AF" w14:textId="77777777" w:rsidTr="00CB2055">
        <w:tc>
          <w:tcPr>
            <w:tcW w:w="4957" w:type="dxa"/>
          </w:tcPr>
          <w:p w14:paraId="2E35EADB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B1">
              <w:rPr>
                <w:rFonts w:ascii="Times New Roman" w:hAnsi="Times New Roman" w:cs="Times New Roman"/>
                <w:sz w:val="24"/>
                <w:szCs w:val="24"/>
              </w:rPr>
              <w:t>Обеспечение персоналом</w:t>
            </w:r>
          </w:p>
        </w:tc>
        <w:tc>
          <w:tcPr>
            <w:tcW w:w="1134" w:type="dxa"/>
          </w:tcPr>
          <w:p w14:paraId="657F951F" w14:textId="3550A425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A88B4A1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B1" w14:paraId="3C8AE171" w14:textId="77777777" w:rsidTr="00CB2055">
        <w:tc>
          <w:tcPr>
            <w:tcW w:w="4957" w:type="dxa"/>
          </w:tcPr>
          <w:p w14:paraId="5610C954" w14:textId="77777777" w:rsidR="008930B1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055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134" w:type="dxa"/>
          </w:tcPr>
          <w:p w14:paraId="5D0883AA" w14:textId="71B5E918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AFFD08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B1" w14:paraId="71C2CBA2" w14:textId="77777777" w:rsidTr="00CB2055">
        <w:tc>
          <w:tcPr>
            <w:tcW w:w="4957" w:type="dxa"/>
          </w:tcPr>
          <w:p w14:paraId="36F7751B" w14:textId="77777777" w:rsidR="008930B1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055">
              <w:rPr>
                <w:rFonts w:ascii="Times New Roman" w:hAnsi="Times New Roman" w:cs="Times New Roman"/>
                <w:sz w:val="24"/>
                <w:szCs w:val="24"/>
              </w:rPr>
              <w:t>Взаимодействие с обществом, регионом, государством</w:t>
            </w:r>
          </w:p>
        </w:tc>
        <w:tc>
          <w:tcPr>
            <w:tcW w:w="1134" w:type="dxa"/>
          </w:tcPr>
          <w:p w14:paraId="4E546A78" w14:textId="6ABC2CC3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7855962" w14:textId="77777777" w:rsidR="008930B1" w:rsidRDefault="008930B1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055" w14:paraId="751EA039" w14:textId="77777777" w:rsidTr="00CB2055">
        <w:tc>
          <w:tcPr>
            <w:tcW w:w="4957" w:type="dxa"/>
          </w:tcPr>
          <w:p w14:paraId="590AE72F" w14:textId="77777777" w:rsidR="00CB2055" w:rsidRPr="00CB2055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055">
              <w:rPr>
                <w:rFonts w:ascii="Times New Roman" w:hAnsi="Times New Roman" w:cs="Times New Roman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134" w:type="dxa"/>
          </w:tcPr>
          <w:p w14:paraId="1253CE1E" w14:textId="500E162C" w:rsidR="00CB2055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41718C9" w14:textId="77777777" w:rsidR="00CB2055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055" w14:paraId="01907265" w14:textId="77777777" w:rsidTr="00CB2055">
        <w:tc>
          <w:tcPr>
            <w:tcW w:w="4957" w:type="dxa"/>
          </w:tcPr>
          <w:p w14:paraId="32F5964E" w14:textId="77777777" w:rsidR="00CB2055" w:rsidRPr="00CB2055" w:rsidRDefault="00CB2055" w:rsidP="008930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055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Экономические показатели</w:t>
            </w:r>
          </w:p>
        </w:tc>
        <w:tc>
          <w:tcPr>
            <w:tcW w:w="1134" w:type="dxa"/>
          </w:tcPr>
          <w:p w14:paraId="129401E2" w14:textId="7F07E68E" w:rsidR="00CB2055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31902E2" w14:textId="47756DF3" w:rsidR="00CB2055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055" w14:paraId="7D3793D0" w14:textId="77777777" w:rsidTr="00CB2055">
        <w:tc>
          <w:tcPr>
            <w:tcW w:w="4957" w:type="dxa"/>
          </w:tcPr>
          <w:p w14:paraId="1D813B73" w14:textId="77777777" w:rsidR="00CB2055" w:rsidRPr="00CB2055" w:rsidRDefault="00CB2055" w:rsidP="008930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055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управления рисками</w:t>
            </w:r>
          </w:p>
        </w:tc>
        <w:tc>
          <w:tcPr>
            <w:tcW w:w="1134" w:type="dxa"/>
          </w:tcPr>
          <w:p w14:paraId="01D26B72" w14:textId="6D24C946" w:rsidR="00CB2055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70AA08" w14:textId="2732204D" w:rsidR="00CB2055" w:rsidRDefault="00CB2055" w:rsidP="008930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902209" w14:textId="77777777" w:rsidR="00A0486E" w:rsidRDefault="00A0486E" w:rsidP="00A0486E">
      <w:pPr>
        <w:pStyle w:val="a6"/>
        <w:shd w:val="clear" w:color="auto" w:fill="FFFFFF"/>
        <w:spacing w:before="0" w:beforeAutospacing="0"/>
        <w:rPr>
          <w:rFonts w:ascii="Open Sans" w:hAnsi="Open Sans" w:cs="Open Sans"/>
          <w:color w:val="333333"/>
          <w:sz w:val="22"/>
          <w:szCs w:val="22"/>
        </w:rPr>
      </w:pPr>
    </w:p>
    <w:p w14:paraId="4870E6A6" w14:textId="4B7C59DC" w:rsidR="00A0486E" w:rsidRPr="00A0486E" w:rsidRDefault="00A0486E" w:rsidP="00A0486E">
      <w:pPr>
        <w:pStyle w:val="a6"/>
        <w:shd w:val="clear" w:color="auto" w:fill="FFFFFF"/>
        <w:spacing w:before="0" w:beforeAutospacing="0"/>
        <w:rPr>
          <w:sz w:val="22"/>
          <w:szCs w:val="22"/>
        </w:rPr>
      </w:pPr>
      <w:bookmarkStart w:id="3" w:name="_Hlk184939094"/>
      <w:bookmarkStart w:id="4" w:name="_Hlk184939694"/>
      <w:r w:rsidRPr="00A0486E">
        <w:rPr>
          <w:sz w:val="22"/>
          <w:szCs w:val="22"/>
        </w:rPr>
        <w:t xml:space="preserve">Оценку полноты и достоверности формирования показателей нефинансовой отчетности </w:t>
      </w:r>
      <w:bookmarkEnd w:id="4"/>
      <w:r w:rsidRPr="00A0486E">
        <w:rPr>
          <w:sz w:val="22"/>
          <w:szCs w:val="22"/>
        </w:rPr>
        <w:t>осуществлять по следующим критериям последовательной бальной оценки</w:t>
      </w:r>
      <w:bookmarkEnd w:id="3"/>
      <w:r w:rsidRPr="00A0486E">
        <w:rPr>
          <w:sz w:val="22"/>
          <w:szCs w:val="22"/>
        </w:rPr>
        <w:t>:</w:t>
      </w:r>
    </w:p>
    <w:p w14:paraId="2E4D36E9" w14:textId="77777777" w:rsidR="00A0486E" w:rsidRPr="00A0486E" w:rsidRDefault="00A0486E" w:rsidP="00A0486E">
      <w:pPr>
        <w:pStyle w:val="a6"/>
        <w:shd w:val="clear" w:color="auto" w:fill="FFFFFF"/>
        <w:spacing w:before="0" w:beforeAutospacing="0"/>
        <w:rPr>
          <w:sz w:val="22"/>
          <w:szCs w:val="22"/>
        </w:rPr>
      </w:pPr>
      <w:r w:rsidRPr="00A0486E">
        <w:rPr>
          <w:sz w:val="22"/>
          <w:szCs w:val="22"/>
        </w:rPr>
        <w:t>0 баллов – показатель не отражен в отчетности компании;</w:t>
      </w:r>
    </w:p>
    <w:p w14:paraId="634062DB" w14:textId="77777777" w:rsidR="00A0486E" w:rsidRPr="00A0486E" w:rsidRDefault="00A0486E" w:rsidP="00A0486E">
      <w:pPr>
        <w:pStyle w:val="a6"/>
        <w:shd w:val="clear" w:color="auto" w:fill="FFFFFF"/>
        <w:spacing w:before="0" w:beforeAutospacing="0"/>
        <w:rPr>
          <w:sz w:val="22"/>
          <w:szCs w:val="22"/>
        </w:rPr>
      </w:pPr>
      <w:r w:rsidRPr="00A0486E">
        <w:rPr>
          <w:sz w:val="22"/>
          <w:szCs w:val="22"/>
        </w:rPr>
        <w:t>1 балл – показатель количественно определен;</w:t>
      </w:r>
    </w:p>
    <w:p w14:paraId="381D6013" w14:textId="77777777" w:rsidR="00A0486E" w:rsidRPr="00A0486E" w:rsidRDefault="00A0486E" w:rsidP="00A0486E">
      <w:pPr>
        <w:pStyle w:val="a6"/>
        <w:shd w:val="clear" w:color="auto" w:fill="FFFFFF"/>
        <w:spacing w:before="0" w:beforeAutospacing="0"/>
        <w:rPr>
          <w:sz w:val="22"/>
          <w:szCs w:val="22"/>
        </w:rPr>
      </w:pPr>
      <w:r w:rsidRPr="00A0486E">
        <w:rPr>
          <w:sz w:val="22"/>
          <w:szCs w:val="22"/>
        </w:rPr>
        <w:t>2 балла – представлены итоги мониторинга показателя за ряд лет;</w:t>
      </w:r>
    </w:p>
    <w:p w14:paraId="59FB7DAF" w14:textId="77777777" w:rsidR="00A0486E" w:rsidRPr="00A0486E" w:rsidRDefault="00A0486E" w:rsidP="00A0486E">
      <w:pPr>
        <w:pStyle w:val="a6"/>
        <w:shd w:val="clear" w:color="auto" w:fill="FFFFFF"/>
        <w:spacing w:before="0" w:beforeAutospacing="0"/>
        <w:rPr>
          <w:sz w:val="22"/>
          <w:szCs w:val="22"/>
        </w:rPr>
      </w:pPr>
      <w:r w:rsidRPr="00A0486E">
        <w:rPr>
          <w:sz w:val="22"/>
          <w:szCs w:val="22"/>
        </w:rPr>
        <w:t xml:space="preserve">3 балла – отражена процедура сбора данных, указаны полнота раскрытия показателя в соответствии со </w:t>
      </w:r>
      <w:bookmarkStart w:id="5" w:name="_Hlk184939149"/>
      <w:r w:rsidRPr="00A0486E">
        <w:rPr>
          <w:sz w:val="22"/>
          <w:szCs w:val="22"/>
        </w:rPr>
        <w:t>стандартами GRI</w:t>
      </w:r>
      <w:bookmarkEnd w:id="5"/>
      <w:r w:rsidRPr="00A0486E">
        <w:rPr>
          <w:sz w:val="22"/>
          <w:szCs w:val="22"/>
        </w:rPr>
        <w:t>, SASB и Методическими рекомендациями Минэкономразвития;</w:t>
      </w:r>
    </w:p>
    <w:p w14:paraId="2011990A" w14:textId="1BD98E50" w:rsidR="00A0486E" w:rsidRDefault="00A0486E" w:rsidP="00A0486E">
      <w:pPr>
        <w:pStyle w:val="a6"/>
        <w:shd w:val="clear" w:color="auto" w:fill="FFFFFF"/>
        <w:spacing w:before="0" w:beforeAutospacing="0"/>
        <w:rPr>
          <w:sz w:val="22"/>
          <w:szCs w:val="22"/>
        </w:rPr>
      </w:pPr>
      <w:r w:rsidRPr="00A0486E">
        <w:rPr>
          <w:sz w:val="22"/>
          <w:szCs w:val="22"/>
        </w:rPr>
        <w:t>4 балла – сформированы прогнозные значения показателя на среднесрочную или долгосрочную перспективу.</w:t>
      </w:r>
    </w:p>
    <w:p w14:paraId="043551DB" w14:textId="5D7E85AE" w:rsidR="00A0486E" w:rsidRPr="00ED7602" w:rsidRDefault="00A0486E" w:rsidP="00A0486E">
      <w:pPr>
        <w:pStyle w:val="a6"/>
        <w:shd w:val="clear" w:color="auto" w:fill="FFFFFF"/>
        <w:spacing w:before="0" w:beforeAutospacing="0"/>
        <w:rPr>
          <w:b/>
          <w:bCs/>
          <w:sz w:val="22"/>
          <w:szCs w:val="22"/>
        </w:rPr>
      </w:pPr>
      <w:r w:rsidRPr="00A0486E">
        <w:rPr>
          <w:b/>
          <w:bCs/>
          <w:sz w:val="22"/>
          <w:szCs w:val="22"/>
        </w:rPr>
        <w:t>Выводы</w:t>
      </w:r>
      <w:r w:rsidR="00ED7602">
        <w:rPr>
          <w:b/>
          <w:bCs/>
          <w:sz w:val="22"/>
          <w:szCs w:val="22"/>
        </w:rPr>
        <w:t>:</w:t>
      </w:r>
    </w:p>
    <w:p w14:paraId="48036BF4" w14:textId="4E39AF51" w:rsidR="007C45AD" w:rsidRDefault="007C45AD" w:rsidP="007C45AD">
      <w:pPr>
        <w:pStyle w:val="a6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21"/>
          <w:szCs w:val="21"/>
        </w:rPr>
        <w:t>Критерии оценки</w:t>
      </w:r>
      <w:r w:rsidR="00F5156D">
        <w:rPr>
          <w:rFonts w:ascii="Arial" w:hAnsi="Arial" w:cs="Arial"/>
          <w:b/>
          <w:bCs/>
          <w:color w:val="333333"/>
          <w:sz w:val="21"/>
          <w:szCs w:val="21"/>
        </w:rPr>
        <w:t xml:space="preserve"> выполнения задания</w:t>
      </w:r>
      <w:r>
        <w:rPr>
          <w:rFonts w:ascii="Arial" w:hAnsi="Arial" w:cs="Arial"/>
          <w:b/>
          <w:bCs/>
          <w:color w:val="333333"/>
          <w:sz w:val="21"/>
          <w:szCs w:val="21"/>
        </w:rPr>
        <w:t>:</w:t>
      </w:r>
    </w:p>
    <w:p w14:paraId="46515684" w14:textId="3D937125" w:rsidR="007C45AD" w:rsidRDefault="007C45AD" w:rsidP="007C45AD">
      <w:pPr>
        <w:pStyle w:val="a6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- «</w:t>
      </w:r>
      <w:r>
        <w:rPr>
          <w:rFonts w:ascii="Arial" w:hAnsi="Arial" w:cs="Arial"/>
          <w:b/>
          <w:bCs/>
          <w:color w:val="333333"/>
          <w:sz w:val="21"/>
          <w:szCs w:val="21"/>
        </w:rPr>
        <w:t>отлично</w:t>
      </w:r>
      <w:r>
        <w:rPr>
          <w:rFonts w:ascii="Arial" w:hAnsi="Arial" w:cs="Arial"/>
          <w:color w:val="333333"/>
          <w:sz w:val="21"/>
          <w:szCs w:val="21"/>
        </w:rPr>
        <w:t>» выставляется студенту, если все задания выполнены экономически грамотно, определен</w:t>
      </w:r>
      <w:r>
        <w:rPr>
          <w:rFonts w:ascii="Arial" w:hAnsi="Arial" w:cs="Arial"/>
          <w:color w:val="333333"/>
          <w:sz w:val="21"/>
          <w:szCs w:val="21"/>
        </w:rPr>
        <w:t>а миссия и стратегия выбранной компании, составлен полностью к</w:t>
      </w:r>
      <w:r w:rsidRPr="007C45AD">
        <w:rPr>
          <w:rFonts w:ascii="Arial" w:hAnsi="Arial" w:cs="Arial"/>
          <w:color w:val="333333"/>
          <w:sz w:val="21"/>
          <w:szCs w:val="21"/>
        </w:rPr>
        <w:t>онтент-анализ нефинансовой отчетности компании</w:t>
      </w:r>
      <w:r>
        <w:rPr>
          <w:rFonts w:ascii="Arial" w:hAnsi="Arial" w:cs="Arial"/>
          <w:color w:val="333333"/>
          <w:sz w:val="21"/>
          <w:szCs w:val="21"/>
        </w:rPr>
        <w:t xml:space="preserve">, полностью </w:t>
      </w:r>
      <w:r>
        <w:rPr>
          <w:rFonts w:ascii="Arial" w:hAnsi="Arial" w:cs="Arial"/>
          <w:color w:val="333333"/>
          <w:sz w:val="21"/>
          <w:szCs w:val="21"/>
        </w:rPr>
        <w:t>приведено</w:t>
      </w:r>
      <w:r>
        <w:rPr>
          <w:rFonts w:ascii="Arial" w:hAnsi="Arial" w:cs="Arial"/>
          <w:color w:val="333333"/>
          <w:sz w:val="21"/>
          <w:szCs w:val="21"/>
        </w:rPr>
        <w:t xml:space="preserve"> краткое описание </w:t>
      </w:r>
      <w:r w:rsidRPr="007C45AD">
        <w:rPr>
          <w:rFonts w:ascii="Arial" w:hAnsi="Arial" w:cs="Arial"/>
          <w:color w:val="333333"/>
          <w:sz w:val="21"/>
          <w:szCs w:val="21"/>
        </w:rPr>
        <w:t>показателей</w:t>
      </w:r>
      <w:r w:rsidRPr="007C45AD">
        <w:rPr>
          <w:rFonts w:ascii="Arial" w:hAnsi="Arial" w:cs="Arial"/>
          <w:color w:val="333333"/>
          <w:sz w:val="21"/>
          <w:szCs w:val="21"/>
        </w:rPr>
        <w:t xml:space="preserve"> нефинансовой отчетности</w:t>
      </w:r>
      <w:r>
        <w:rPr>
          <w:rFonts w:ascii="Arial" w:hAnsi="Arial" w:cs="Arial"/>
          <w:color w:val="333333"/>
          <w:sz w:val="21"/>
          <w:szCs w:val="21"/>
        </w:rPr>
        <w:t>, </w:t>
      </w:r>
      <w:r>
        <w:rPr>
          <w:rFonts w:ascii="Arial" w:hAnsi="Arial" w:cs="Arial"/>
          <w:color w:val="333333"/>
          <w:sz w:val="21"/>
          <w:szCs w:val="21"/>
        </w:rPr>
        <w:t>обосновано дана бальная о</w:t>
      </w:r>
      <w:r w:rsidRPr="007C45AD">
        <w:rPr>
          <w:rFonts w:ascii="Arial" w:hAnsi="Arial" w:cs="Arial"/>
          <w:color w:val="333333"/>
          <w:sz w:val="21"/>
          <w:szCs w:val="21"/>
        </w:rPr>
        <w:t>ценк</w:t>
      </w:r>
      <w:r>
        <w:rPr>
          <w:rFonts w:ascii="Arial" w:hAnsi="Arial" w:cs="Arial"/>
          <w:color w:val="333333"/>
          <w:sz w:val="21"/>
          <w:szCs w:val="21"/>
        </w:rPr>
        <w:t>а</w:t>
      </w:r>
      <w:r w:rsidRPr="007C45AD">
        <w:rPr>
          <w:rFonts w:ascii="Arial" w:hAnsi="Arial" w:cs="Arial"/>
          <w:color w:val="333333"/>
          <w:sz w:val="21"/>
          <w:szCs w:val="21"/>
        </w:rPr>
        <w:t xml:space="preserve"> полноты и достоверности формирования показателей нефинансовой отчетности </w:t>
      </w:r>
      <w:r>
        <w:rPr>
          <w:rFonts w:ascii="Arial" w:hAnsi="Arial" w:cs="Arial"/>
          <w:color w:val="333333"/>
          <w:sz w:val="21"/>
          <w:szCs w:val="21"/>
        </w:rPr>
        <w:t xml:space="preserve">в соответствии со </w:t>
      </w:r>
      <w:r w:rsidRPr="007C45AD">
        <w:rPr>
          <w:rFonts w:ascii="Arial" w:hAnsi="Arial" w:cs="Arial"/>
          <w:color w:val="333333"/>
          <w:sz w:val="21"/>
          <w:szCs w:val="21"/>
        </w:rPr>
        <w:t>стандартами GRI</w:t>
      </w:r>
      <w:r w:rsidRPr="007C45AD"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Fonts w:ascii="Arial" w:hAnsi="Arial" w:cs="Arial"/>
          <w:color w:val="333333"/>
          <w:sz w:val="21"/>
          <w:szCs w:val="21"/>
        </w:rPr>
        <w:t xml:space="preserve">и др., </w:t>
      </w:r>
      <w:r w:rsidR="00F5156D">
        <w:rPr>
          <w:rFonts w:ascii="Arial" w:hAnsi="Arial" w:cs="Arial"/>
          <w:color w:val="333333"/>
          <w:sz w:val="21"/>
          <w:szCs w:val="21"/>
        </w:rPr>
        <w:t>грамотно</w:t>
      </w:r>
      <w:r w:rsidR="00F5156D"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Fonts w:ascii="Arial" w:hAnsi="Arial" w:cs="Arial"/>
          <w:color w:val="333333"/>
          <w:sz w:val="21"/>
          <w:szCs w:val="21"/>
        </w:rPr>
        <w:t>сделаны выводы.</w:t>
      </w:r>
    </w:p>
    <w:p w14:paraId="3970EEDA" w14:textId="38E79862" w:rsidR="007C45AD" w:rsidRDefault="007C45AD" w:rsidP="007C45AD">
      <w:pPr>
        <w:pStyle w:val="a6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- «</w:t>
      </w:r>
      <w:r>
        <w:rPr>
          <w:rFonts w:ascii="Arial" w:hAnsi="Arial" w:cs="Arial"/>
          <w:b/>
          <w:bCs/>
          <w:color w:val="333333"/>
          <w:sz w:val="21"/>
          <w:szCs w:val="21"/>
        </w:rPr>
        <w:t>хорошо</w:t>
      </w:r>
      <w:r>
        <w:rPr>
          <w:rFonts w:ascii="Arial" w:hAnsi="Arial" w:cs="Arial"/>
          <w:color w:val="333333"/>
          <w:sz w:val="21"/>
          <w:szCs w:val="21"/>
        </w:rPr>
        <w:t xml:space="preserve">» выставляется студенту, если все задания выполнены экономически грамотно, определена миссия и стратегия выбранной компании, </w:t>
      </w:r>
      <w:r w:rsidRPr="007C45AD">
        <w:rPr>
          <w:rFonts w:ascii="Arial" w:hAnsi="Arial" w:cs="Arial"/>
          <w:color w:val="333333"/>
          <w:sz w:val="21"/>
          <w:szCs w:val="21"/>
        </w:rPr>
        <w:t>составлен полностью контент-анализ нефинансовой отчетности компании</w:t>
      </w:r>
      <w:r w:rsidR="00F5156D">
        <w:rPr>
          <w:rFonts w:ascii="Arial" w:hAnsi="Arial" w:cs="Arial"/>
          <w:color w:val="333333"/>
          <w:sz w:val="21"/>
          <w:szCs w:val="21"/>
        </w:rPr>
        <w:t>,</w:t>
      </w:r>
      <w:r w:rsidR="00F5156D" w:rsidRPr="00F5156D">
        <w:rPr>
          <w:rFonts w:ascii="Arial" w:hAnsi="Arial" w:cs="Arial"/>
          <w:color w:val="333333"/>
          <w:sz w:val="21"/>
          <w:szCs w:val="21"/>
        </w:rPr>
        <w:t xml:space="preserve"> </w:t>
      </w:r>
      <w:bookmarkStart w:id="6" w:name="_Hlk184939638"/>
      <w:r w:rsidRPr="007C45AD">
        <w:rPr>
          <w:rFonts w:ascii="Arial" w:hAnsi="Arial" w:cs="Arial"/>
          <w:color w:val="333333"/>
          <w:sz w:val="21"/>
          <w:szCs w:val="21"/>
        </w:rPr>
        <w:t>приведено краткое описание показателей нефинансовой отчетности,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r w:rsidR="00F5156D">
        <w:rPr>
          <w:rFonts w:ascii="Arial" w:hAnsi="Arial" w:cs="Arial"/>
          <w:color w:val="333333"/>
          <w:sz w:val="21"/>
          <w:szCs w:val="21"/>
        </w:rPr>
        <w:t>но в нем допускаются отдельные логические и погрешности,</w:t>
      </w:r>
      <w:r w:rsidR="00F5156D"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Fonts w:ascii="Arial" w:hAnsi="Arial" w:cs="Arial"/>
          <w:color w:val="333333"/>
          <w:sz w:val="21"/>
          <w:szCs w:val="21"/>
        </w:rPr>
        <w:t xml:space="preserve">дана </w:t>
      </w:r>
      <w:r w:rsidR="00F5156D">
        <w:rPr>
          <w:rFonts w:ascii="Arial" w:hAnsi="Arial" w:cs="Arial"/>
          <w:color w:val="333333"/>
          <w:sz w:val="21"/>
          <w:szCs w:val="21"/>
        </w:rPr>
        <w:t xml:space="preserve">частично </w:t>
      </w:r>
      <w:r>
        <w:rPr>
          <w:rFonts w:ascii="Arial" w:hAnsi="Arial" w:cs="Arial"/>
          <w:color w:val="333333"/>
          <w:sz w:val="21"/>
          <w:szCs w:val="21"/>
        </w:rPr>
        <w:t>обоснован</w:t>
      </w:r>
      <w:r>
        <w:rPr>
          <w:rFonts w:ascii="Arial" w:hAnsi="Arial" w:cs="Arial"/>
          <w:color w:val="333333"/>
          <w:sz w:val="21"/>
          <w:szCs w:val="21"/>
        </w:rPr>
        <w:t>ная</w:t>
      </w:r>
      <w:r>
        <w:rPr>
          <w:rFonts w:ascii="Arial" w:hAnsi="Arial" w:cs="Arial"/>
          <w:color w:val="333333"/>
          <w:sz w:val="21"/>
          <w:szCs w:val="21"/>
        </w:rPr>
        <w:t xml:space="preserve"> бальная о</w:t>
      </w:r>
      <w:r w:rsidRPr="007C45AD">
        <w:rPr>
          <w:rFonts w:ascii="Arial" w:hAnsi="Arial" w:cs="Arial"/>
          <w:color w:val="333333"/>
          <w:sz w:val="21"/>
          <w:szCs w:val="21"/>
        </w:rPr>
        <w:t>ценк</w:t>
      </w:r>
      <w:r>
        <w:rPr>
          <w:rFonts w:ascii="Arial" w:hAnsi="Arial" w:cs="Arial"/>
          <w:color w:val="333333"/>
          <w:sz w:val="21"/>
          <w:szCs w:val="21"/>
        </w:rPr>
        <w:t>а</w:t>
      </w:r>
      <w:r w:rsidRPr="007C45AD">
        <w:rPr>
          <w:rFonts w:ascii="Arial" w:hAnsi="Arial" w:cs="Arial"/>
          <w:color w:val="333333"/>
          <w:sz w:val="21"/>
          <w:szCs w:val="21"/>
        </w:rPr>
        <w:t xml:space="preserve"> полноты и достоверности формирования показателей нефинансовой отчетности </w:t>
      </w:r>
      <w:r>
        <w:rPr>
          <w:rFonts w:ascii="Arial" w:hAnsi="Arial" w:cs="Arial"/>
          <w:color w:val="333333"/>
          <w:sz w:val="21"/>
          <w:szCs w:val="21"/>
        </w:rPr>
        <w:t xml:space="preserve">в соответствии со </w:t>
      </w:r>
      <w:r w:rsidRPr="007C45AD">
        <w:rPr>
          <w:rFonts w:ascii="Arial" w:hAnsi="Arial" w:cs="Arial"/>
          <w:color w:val="333333"/>
          <w:sz w:val="21"/>
          <w:szCs w:val="21"/>
        </w:rPr>
        <w:t xml:space="preserve">стандартами GRI </w:t>
      </w:r>
      <w:r>
        <w:rPr>
          <w:rFonts w:ascii="Arial" w:hAnsi="Arial" w:cs="Arial"/>
          <w:color w:val="333333"/>
          <w:sz w:val="21"/>
          <w:szCs w:val="21"/>
        </w:rPr>
        <w:t xml:space="preserve">и др., </w:t>
      </w:r>
      <w:r w:rsidR="00F5156D" w:rsidRPr="00F5156D">
        <w:rPr>
          <w:rFonts w:ascii="Arial" w:hAnsi="Arial" w:cs="Arial"/>
          <w:color w:val="333333"/>
          <w:sz w:val="21"/>
          <w:szCs w:val="21"/>
        </w:rPr>
        <w:t>грамотно сделаны выводы.</w:t>
      </w:r>
    </w:p>
    <w:bookmarkEnd w:id="6"/>
    <w:p w14:paraId="3C88066D" w14:textId="1005E837" w:rsidR="007C45AD" w:rsidRDefault="007C45AD" w:rsidP="00627A3E">
      <w:pPr>
        <w:pStyle w:val="a6"/>
        <w:shd w:val="clear" w:color="auto" w:fill="FFFFFF"/>
        <w:spacing w:before="0" w:beforeAutospacing="0" w:after="15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- «</w:t>
      </w:r>
      <w:r>
        <w:rPr>
          <w:rFonts w:ascii="Arial" w:hAnsi="Arial" w:cs="Arial"/>
          <w:b/>
          <w:bCs/>
          <w:color w:val="333333"/>
          <w:sz w:val="21"/>
          <w:szCs w:val="21"/>
        </w:rPr>
        <w:t>удовлетворительно</w:t>
      </w:r>
      <w:r>
        <w:rPr>
          <w:rFonts w:ascii="Arial" w:hAnsi="Arial" w:cs="Arial"/>
          <w:color w:val="333333"/>
          <w:sz w:val="21"/>
          <w:szCs w:val="21"/>
        </w:rPr>
        <w:t xml:space="preserve">» - выставляется студенту, если задания выполнены не полностью, </w:t>
      </w:r>
      <w:r w:rsidR="00F5156D">
        <w:rPr>
          <w:rFonts w:ascii="Arial" w:hAnsi="Arial" w:cs="Arial"/>
          <w:color w:val="333333"/>
          <w:sz w:val="21"/>
          <w:szCs w:val="21"/>
        </w:rPr>
        <w:t>определена миссия и стратегия выбранной компании</w:t>
      </w:r>
      <w:r>
        <w:rPr>
          <w:rFonts w:ascii="Arial" w:hAnsi="Arial" w:cs="Arial"/>
          <w:color w:val="333333"/>
          <w:sz w:val="21"/>
          <w:szCs w:val="21"/>
        </w:rPr>
        <w:t xml:space="preserve">, </w:t>
      </w:r>
      <w:r w:rsidR="00F5156D" w:rsidRPr="00F5156D">
        <w:rPr>
          <w:rFonts w:ascii="Arial" w:hAnsi="Arial" w:cs="Arial"/>
          <w:color w:val="333333"/>
          <w:sz w:val="21"/>
          <w:szCs w:val="21"/>
        </w:rPr>
        <w:t xml:space="preserve">частично приведено краткое описание показателей нефинансовой отчетности, </w:t>
      </w:r>
      <w:r w:rsidR="005B49F6">
        <w:rPr>
          <w:rFonts w:ascii="Arial" w:hAnsi="Arial" w:cs="Arial"/>
          <w:color w:val="333333"/>
          <w:sz w:val="21"/>
          <w:szCs w:val="21"/>
        </w:rPr>
        <w:t>частично обоснована</w:t>
      </w:r>
      <w:r w:rsidR="005B49F6" w:rsidRPr="00F5156D">
        <w:rPr>
          <w:rFonts w:ascii="Arial" w:hAnsi="Arial" w:cs="Arial"/>
          <w:color w:val="333333"/>
          <w:sz w:val="21"/>
          <w:szCs w:val="21"/>
        </w:rPr>
        <w:t xml:space="preserve"> </w:t>
      </w:r>
      <w:r w:rsidR="00F5156D" w:rsidRPr="00F5156D">
        <w:rPr>
          <w:rFonts w:ascii="Arial" w:hAnsi="Arial" w:cs="Arial"/>
          <w:color w:val="333333"/>
          <w:sz w:val="21"/>
          <w:szCs w:val="21"/>
        </w:rPr>
        <w:t>бальная оценка полноты и достоверности формирования показателей нефинансовой отчетности в соответствии со стандартами GRI и др.,</w:t>
      </w:r>
      <w:r w:rsidR="00F5156D"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Fonts w:ascii="Arial" w:hAnsi="Arial" w:cs="Arial"/>
          <w:color w:val="333333"/>
          <w:sz w:val="21"/>
          <w:szCs w:val="21"/>
        </w:rPr>
        <w:t xml:space="preserve">имеют место отдельные ошибки в </w:t>
      </w:r>
      <w:r w:rsidR="00F5156D" w:rsidRPr="00F5156D">
        <w:rPr>
          <w:rFonts w:ascii="Arial" w:hAnsi="Arial" w:cs="Arial"/>
          <w:color w:val="333333"/>
          <w:sz w:val="21"/>
          <w:szCs w:val="21"/>
        </w:rPr>
        <w:t>описание показателей нефинансовой отчетности</w:t>
      </w:r>
      <w:r w:rsidR="005B49F6">
        <w:rPr>
          <w:rFonts w:ascii="Arial" w:hAnsi="Arial" w:cs="Arial"/>
          <w:color w:val="333333"/>
          <w:sz w:val="21"/>
          <w:szCs w:val="21"/>
        </w:rPr>
        <w:t>.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r w:rsidR="005B49F6">
        <w:rPr>
          <w:rFonts w:ascii="Arial" w:hAnsi="Arial" w:cs="Arial"/>
          <w:color w:val="333333"/>
          <w:sz w:val="21"/>
          <w:szCs w:val="21"/>
        </w:rPr>
        <w:t xml:space="preserve">Выводы частично подтверждены контент-анализом. 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9214"/>
      </w:tblGrid>
      <w:tr w:rsidR="007F1730" w:rsidRPr="007F1730" w14:paraId="15889A63" w14:textId="77777777" w:rsidTr="007F1730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940C" w14:textId="1EA41497" w:rsidR="00627A3E" w:rsidRDefault="007C45AD" w:rsidP="00627A3E">
            <w:pPr>
              <w:pStyle w:val="a6"/>
              <w:shd w:val="clear" w:color="auto" w:fill="FFFFFF"/>
              <w:spacing w:before="0" w:beforeAutospacing="0" w:after="150" w:afterAutospacing="0" w:line="330" w:lineRule="atLeast"/>
              <w:jc w:val="both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- оценка «</w:t>
            </w:r>
            <w: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неудовлетворительно»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 - выставляется студенту, если задания выполнены неправильно, имеют место грубые ошибки, непонимание сущности излагаемого вопроса, неумение применять знания на практике. Отсутствует </w:t>
            </w:r>
            <w:r w:rsidR="005B49F6" w:rsidRPr="005B49F6">
              <w:rPr>
                <w:rFonts w:ascii="Arial" w:hAnsi="Arial" w:cs="Arial"/>
                <w:color w:val="333333"/>
                <w:sz w:val="21"/>
                <w:szCs w:val="21"/>
              </w:rPr>
              <w:t>миссия и стратегия выбранной компании</w:t>
            </w:r>
            <w:r w:rsidR="005B49F6"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 w:rsidR="004C4935">
              <w:rPr>
                <w:rFonts w:ascii="Arial" w:hAnsi="Arial" w:cs="Arial"/>
                <w:color w:val="333333"/>
                <w:sz w:val="21"/>
                <w:szCs w:val="21"/>
              </w:rPr>
              <w:t>К</w:t>
            </w:r>
            <w:r w:rsidR="004C4935" w:rsidRPr="004C4935">
              <w:rPr>
                <w:rFonts w:ascii="Arial" w:hAnsi="Arial" w:cs="Arial"/>
                <w:color w:val="333333"/>
                <w:sz w:val="21"/>
                <w:szCs w:val="21"/>
              </w:rPr>
              <w:t>онтент-анализ нефинансовой отчетности компании</w:t>
            </w:r>
            <w:r w:rsidR="004C4935">
              <w:rPr>
                <w:rFonts w:ascii="Arial" w:hAnsi="Arial" w:cs="Arial"/>
                <w:color w:val="333333"/>
                <w:sz w:val="21"/>
                <w:szCs w:val="21"/>
              </w:rPr>
              <w:t>,</w:t>
            </w:r>
            <w:r w:rsidR="004C4935" w:rsidRPr="004C4935"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r w:rsidR="00627A3E" w:rsidRPr="00627A3E">
              <w:rPr>
                <w:rFonts w:ascii="Arial" w:hAnsi="Arial" w:cs="Arial"/>
                <w:color w:val="333333"/>
                <w:sz w:val="21"/>
                <w:szCs w:val="21"/>
              </w:rPr>
              <w:t xml:space="preserve">Краткое описание/ обоснование бальной оценки </w:t>
            </w:r>
            <w:r w:rsidR="00F5156D" w:rsidRPr="00F5156D">
              <w:rPr>
                <w:rFonts w:ascii="Arial" w:hAnsi="Arial" w:cs="Arial"/>
                <w:color w:val="333333"/>
                <w:sz w:val="21"/>
                <w:szCs w:val="21"/>
              </w:rPr>
              <w:t xml:space="preserve">полноты и достоверности формирования показателей нефинансовой отчетности 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отсутствуют или изложены некорректно</w:t>
            </w:r>
            <w:r w:rsidR="00627A3E">
              <w:rPr>
                <w:rFonts w:ascii="Arial" w:hAnsi="Arial" w:cs="Arial"/>
                <w:color w:val="333333"/>
                <w:sz w:val="21"/>
                <w:szCs w:val="21"/>
              </w:rPr>
              <w:t xml:space="preserve">, </w:t>
            </w:r>
            <w:r w:rsidR="00627A3E" w:rsidRPr="00F5156D">
              <w:rPr>
                <w:rFonts w:ascii="Arial" w:hAnsi="Arial" w:cs="Arial"/>
                <w:color w:val="333333"/>
                <w:sz w:val="21"/>
                <w:szCs w:val="21"/>
              </w:rPr>
              <w:t>выводы</w:t>
            </w:r>
            <w:r w:rsidR="00627A3E">
              <w:rPr>
                <w:rFonts w:ascii="Arial" w:hAnsi="Arial" w:cs="Arial"/>
                <w:color w:val="333333"/>
                <w:sz w:val="21"/>
                <w:szCs w:val="21"/>
              </w:rPr>
              <w:t xml:space="preserve"> не обоснованы</w:t>
            </w:r>
            <w:r w:rsidR="00627A3E" w:rsidRPr="00F5156D"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</w:p>
          <w:p w14:paraId="47A4BA37" w14:textId="6FC76B05" w:rsidR="007F1730" w:rsidRPr="00862A98" w:rsidRDefault="007F1730" w:rsidP="00627A3E">
            <w:pPr>
              <w:spacing w:after="0" w:line="360" w:lineRule="auto"/>
              <w:ind w:left="-105" w:firstLine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27FA660" w14:textId="77777777" w:rsidR="007F1730" w:rsidRDefault="007F1730" w:rsidP="008930B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F1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B1"/>
    <w:rsid w:val="004C4935"/>
    <w:rsid w:val="005B49F6"/>
    <w:rsid w:val="00627A3E"/>
    <w:rsid w:val="00662D33"/>
    <w:rsid w:val="007C45AD"/>
    <w:rsid w:val="007F1730"/>
    <w:rsid w:val="00840867"/>
    <w:rsid w:val="00862A98"/>
    <w:rsid w:val="008930B1"/>
    <w:rsid w:val="009D4254"/>
    <w:rsid w:val="00A0486E"/>
    <w:rsid w:val="00BB66BB"/>
    <w:rsid w:val="00BE3BC4"/>
    <w:rsid w:val="00CB2055"/>
    <w:rsid w:val="00ED7602"/>
    <w:rsid w:val="00F209F7"/>
    <w:rsid w:val="00F50192"/>
    <w:rsid w:val="00F5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7C56B"/>
  <w15:chartTrackingRefBased/>
  <w15:docId w15:val="{9AC07245-3E9D-46EB-A14A-F42D9F96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E3BC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E3BC4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BE3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E3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3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b.ru/story/nefinansovaya-otchetno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Шимко</dc:creator>
  <cp:keywords/>
  <dc:description/>
  <cp:lastModifiedBy>наталья шимко</cp:lastModifiedBy>
  <cp:revision>6</cp:revision>
  <dcterms:created xsi:type="dcterms:W3CDTF">2024-12-12T15:59:00Z</dcterms:created>
  <dcterms:modified xsi:type="dcterms:W3CDTF">2024-12-12T17:17:00Z</dcterms:modified>
</cp:coreProperties>
</file>