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Министерство образования и науки Челябинской области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ГБПОУ «Челябинский энергетический колледж </w:t>
      </w:r>
      <w:r>
        <w:rPr>
          <w:rFonts w:ascii="Times New Roman" w:hAnsi="Times New Roman" w:cs="Times New Roman"/>
          <w:sz w:val="24"/>
          <w:szCs w:val="28"/>
        </w:rPr>
        <w:t xml:space="preserve">им.С.М</w:t>
      </w:r>
      <w:r>
        <w:rPr>
          <w:rFonts w:ascii="Times New Roman" w:hAnsi="Times New Roman" w:cs="Times New Roman"/>
          <w:sz w:val="24"/>
          <w:szCs w:val="28"/>
        </w:rPr>
        <w:t xml:space="preserve">. Кирова»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УКАЗАНИЯ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выполнению курсового проекта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ПРОЕКТИРОВАНИЕ ЭЛЕКТРИЧЕСКОЙ ЧАСТИ ГРЭС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специальности 13.02.03 Электрические станции, сети и системы</w:t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/>
    </w:p>
    <w:p>
      <w:pPr>
        <w:jc w:val="center"/>
        <w:spacing w:after="160"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Челябинск, 2023</w:t>
      </w:r>
      <w:r>
        <w:rPr>
          <w:rFonts w:ascii="Times New Roman" w:hAnsi="Times New Roman" w:cs="Times New Roman"/>
          <w:sz w:val="24"/>
          <w:szCs w:val="28"/>
        </w:rPr>
        <w:br w:type="page" w:clear="all"/>
      </w:r>
      <w:r/>
    </w:p>
    <w:p>
      <w:pPr>
        <w:ind w:firstLine="709"/>
        <w:spacing w:after="36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ВЫБОР ОСНОВНОГО ОБОРУДОВАНИЯ СТАНЦИИ</w:t>
      </w:r>
      <w:r/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Основное оборудование всегда </w:t>
      </w:r>
      <w:r>
        <w:rPr>
          <w:rFonts w:ascii="Times New Roman" w:hAnsi="Times New Roman" w:cs="Times New Roman"/>
          <w:sz w:val="28"/>
          <w:szCs w:val="28"/>
        </w:rPr>
        <w:t xml:space="preserve">необходимо</w:t>
      </w:r>
      <w:r>
        <w:rPr>
          <w:rFonts w:ascii="Times New Roman" w:hAnsi="Times New Roman" w:cs="Times New Roman"/>
          <w:sz w:val="28"/>
          <w:szCs w:val="28"/>
        </w:rPr>
        <w:t xml:space="preserve"> выбирать однотипным,</w:t>
      </w:r>
      <w:r>
        <w:rPr>
          <w:rFonts w:ascii="Times New Roman" w:hAnsi="Times New Roman" w:cs="Times New Roman"/>
          <w:sz w:val="28"/>
          <w:szCs w:val="28"/>
        </w:rPr>
        <w:t xml:space="preserve"> т.к. </w:t>
      </w:r>
      <w:r>
        <w:rPr>
          <w:rFonts w:ascii="Times New Roman" w:hAnsi="Times New Roman" w:cs="Times New Roman"/>
          <w:sz w:val="28"/>
          <w:szCs w:val="28"/>
        </w:rPr>
        <w:t xml:space="preserve"> этим обеспечивается возможность максимальной индустриализации строительства, кроме того, улучшаются условия эксплуатации, ремонта и сокращается количество обслуживающего персонала.</w:t>
      </w:r>
      <w:r/>
    </w:p>
    <w:p>
      <w:pPr>
        <w:ind w:firstLine="709"/>
        <w:jc w:val="both"/>
        <w:spacing w:before="240"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Выбор генераторов</w:t>
      </w:r>
      <w:r/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генераторов производится согласно задания на курсовой проект по заданной мощности.</w:t>
      </w:r>
      <w:r/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 xml:space="preserve">выбранных турбогенераторов сносятся</w:t>
      </w:r>
      <w:r>
        <w:rPr>
          <w:rFonts w:ascii="Times New Roman" w:hAnsi="Times New Roman" w:cs="Times New Roman"/>
          <w:sz w:val="28"/>
          <w:szCs w:val="28"/>
        </w:rPr>
        <w:t xml:space="preserve"> в таблицу 1.1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1.1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Технические характеристики турбогенераторов</w:t>
      </w:r>
      <w:r/>
    </w:p>
    <w:tbl>
      <w:tblPr>
        <w:tblW w:w="9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851"/>
        <w:gridCol w:w="868"/>
        <w:gridCol w:w="691"/>
        <w:gridCol w:w="851"/>
        <w:gridCol w:w="850"/>
        <w:gridCol w:w="1093"/>
        <w:gridCol w:w="1174"/>
        <w:gridCol w:w="1586"/>
      </w:tblGrid>
      <w:tr>
        <w:trPr>
          <w:cantSplit/>
          <w:jc w:val="center"/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генератора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Sн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Uн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Iн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cosφ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//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d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0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озбуж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дения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Охлаждение</w:t>
            </w:r>
            <w:r/>
          </w:p>
        </w:tc>
      </w:tr>
      <w:tr>
        <w:trPr>
          <w:cantSplit/>
          <w:jc w:val="center"/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5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1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093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статора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ротора</w:t>
            </w:r>
            <w:r/>
          </w:p>
        </w:tc>
      </w:tr>
      <w:tr>
        <w:trPr>
          <w:jc w:val="center"/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</w:tbl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Выбор турбин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привода генераторов </w:t>
      </w:r>
      <w:r>
        <w:rPr>
          <w:rFonts w:ascii="Times New Roman" w:hAnsi="Times New Roman" w:cs="Times New Roman"/>
          <w:sz w:val="28"/>
          <w:szCs w:val="28"/>
        </w:rPr>
        <w:t xml:space="preserve">на ГРЭС применяются конденсационные турбины.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турбины производится по условию: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нг</m:t>
                    </m:r>
                  </m:sub>
                </m:sSub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right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нт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номинальная мощность турбины, МВт;</w:t>
      </w:r>
      <w:r/>
    </w:p>
    <w:p>
      <w:pPr>
        <w:ind w:firstLine="113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нг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номинальная мощность генератора, МВт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 xml:space="preserve">выбранных турбин сносятся</w:t>
      </w:r>
      <w:r>
        <w:rPr>
          <w:rFonts w:ascii="Times New Roman" w:hAnsi="Times New Roman" w:cs="Times New Roman"/>
          <w:sz w:val="28"/>
          <w:szCs w:val="28"/>
        </w:rPr>
        <w:t xml:space="preserve"> в таблицу 1.2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турбин</w:t>
      </w:r>
      <w:r/>
    </w:p>
    <w:tbl>
      <w:tblPr>
        <w:tblW w:w="964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1674"/>
        <w:gridCol w:w="1701"/>
        <w:gridCol w:w="1843"/>
        <w:gridCol w:w="2268"/>
      </w:tblGrid>
      <w:tr>
        <w:trPr>
          <w:trHeight w:val="8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4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Тип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турбины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Мощность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турбины,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МВт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Температура свежего пара,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Максимальный расход пара,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Т/ч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Удельный расход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теплоты,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ккал/кВт*ч</w:t>
            </w:r>
            <w:r/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54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/>
          </w:p>
        </w:tc>
      </w:tr>
    </w:tbl>
    <w:p>
      <w:pPr>
        <w:contextualSpacing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Выбор парогенераторов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парогенераторов производится по следующим критериям:</w:t>
      </w:r>
      <w:r/>
    </w:p>
    <w:p>
      <w:pPr>
        <w:pStyle w:val="664"/>
        <w:numPr>
          <w:ilvl w:val="0"/>
          <w:numId w:val="1"/>
        </w:numPr>
        <w:contextualSpacing w:val="0"/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виду тепловой схемы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ГРЭС применяется блочная тепловая схема станции (рисунок 1.1)</w:t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695912</wp:posOffset>
                </wp:positionH>
                <wp:positionV relativeFrom="paragraph">
                  <wp:posOffset>48651</wp:posOffset>
                </wp:positionV>
                <wp:extent cx="4663440" cy="1402080"/>
                <wp:effectExtent l="11430" t="8255" r="20955" b="8890"/>
                <wp:wrapNone/>
                <wp:docPr id="1" name="Группа 93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663440" cy="1402080"/>
                          <a:chOff x="2444" y="944"/>
                          <a:chExt cx="7343" cy="2208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740" y="1856"/>
                            <a:ext cx="0" cy="10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 flipV="1">
                            <a:off x="3740" y="1423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740" y="2864"/>
                            <a:ext cx="432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172" y="1423"/>
                            <a:ext cx="0" cy="17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4172" y="2129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>
                          <a:spLocks noChangeArrowheads="1"/>
                        </wps:cNvSpPr>
                        <wps:spPr bwMode="auto">
                          <a:xfrm>
                            <a:off x="4892" y="1894"/>
                            <a:ext cx="720" cy="72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5612" y="2129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>
                          <a:spLocks noChangeArrowheads="1"/>
                        </wps:cNvSpPr>
                        <wps:spPr bwMode="auto">
                          <a:xfrm>
                            <a:off x="6908" y="1964"/>
                            <a:ext cx="576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>
                          <a:spLocks noChangeArrowheads="1"/>
                        </wps:cNvSpPr>
                        <wps:spPr bwMode="auto">
                          <a:xfrm>
                            <a:off x="7385" y="1964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7916" y="2129"/>
                            <a:ext cx="86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8780" y="1803"/>
                            <a:ext cx="0" cy="10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3740" y="1280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 flipH="1">
                            <a:off x="3164" y="1280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8780" y="2129"/>
                            <a:ext cx="10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>
                          <a:spLocks noChangeArrowheads="1"/>
                        </wps:cNvSpPr>
                        <wps:spPr bwMode="auto">
                          <a:xfrm>
                            <a:off x="2444" y="944"/>
                            <a:ext cx="7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r>
                                <w:t xml:space="preserve">ПГ</w:t>
                              </w:r>
                              <w:r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5073" y="2174"/>
                            <a:ext cx="310" cy="152"/>
                          </a:xfrm>
                          <a:custGeom>
                            <a:avLst/>
                            <a:gdLst>
                              <a:gd name="T0" fmla="*/ 0 w 685"/>
                              <a:gd name="T1" fmla="*/ 302 h 302"/>
                              <a:gd name="T2" fmla="*/ 235 w 685"/>
                              <a:gd name="T3" fmla="*/ 2 h 302"/>
                              <a:gd name="T4" fmla="*/ 475 w 685"/>
                              <a:gd name="T5" fmla="*/ 287 h 302"/>
                              <a:gd name="T6" fmla="*/ 685 w 685"/>
                              <a:gd name="T7" fmla="*/ 32 h 3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85" h="302" fill="norm" stroke="1" extrusionOk="0">
                                <a:moveTo>
                                  <a:pt x="0" y="302"/>
                                </a:moveTo>
                                <a:cubicBezTo>
                                  <a:pt x="78" y="153"/>
                                  <a:pt x="156" y="4"/>
                                  <a:pt x="235" y="2"/>
                                </a:cubicBezTo>
                                <a:cubicBezTo>
                                  <a:pt x="314" y="0"/>
                                  <a:pt x="400" y="282"/>
                                  <a:pt x="475" y="287"/>
                                </a:cubicBezTo>
                                <a:cubicBezTo>
                                  <a:pt x="550" y="292"/>
                                  <a:pt x="650" y="75"/>
                                  <a:pt x="685" y="3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3812" y="2174"/>
                            <a:ext cx="249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 xml:space="preserve">Т</w:t>
                              </w:r>
                              <w:r/>
                            </w:p>
                          </w:txbxContent>
                        </wps:txbx>
                        <wps:bodyPr rot="0" vert="horz" wrap="square" lIns="0" tIns="18000" rIns="0" bIns="0" anchor="t" anchorCtr="0" upright="1">
                          <a:noAutofit/>
                        </wps:bodyPr>
                      </wps:wsp>
                      <wps:wsp>
                        <wps:cNvPr id="17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7385" y="2614"/>
                            <a:ext cx="249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</w:rPr>
                                <w:t xml:space="preserve">Т</w:t>
                              </w:r>
                              <w:r/>
                            </w:p>
                          </w:txbxContent>
                        </wps:txbx>
                        <wps:bodyPr rot="0" vert="horz" wrap="square" lIns="0" tIns="18000" rIns="0" bIns="0" anchor="t" anchorCtr="0" upright="1">
                          <a:noAutofit/>
                        </wps:bodyPr>
                      </wps:wsp>
                      <wps:wsp>
                        <wps:cNvPr id="18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5102" y="2639"/>
                            <a:ext cx="249" cy="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Cs w:val="20"/>
                                  <w:lang w:val="en-US"/>
                                </w:rPr>
                                <w:t xml:space="preserve">G</w:t>
                              </w:r>
                              <w:r/>
                            </w:p>
                          </w:txbxContent>
                        </wps:txbx>
                        <wps:bodyPr rot="0" vert="horz" wrap="square" lIns="0" tIns="1800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mso-wrap-distance-left:9.0pt;mso-wrap-distance-top:0.0pt;mso-wrap-distance-right:9.0pt;mso-wrap-distance-bottom:0.0pt;z-index:251659264;o:allowoverlap:true;o:allowincell:true;mso-position-horizontal-relative:text;margin-left:54.8pt;mso-position-horizontal:absolute;mso-position-vertical-relative:text;margin-top:3.8pt;mso-position-vertical:absolute;width:367.2pt;height:110.4pt;" coordorigin="24,9" coordsize="73,22">
                <v:shape id="shape 1" o:spid="_x0000_s1" o:spt="20" style="position:absolute;left:37;top:18;width:0;height:10;" coordsize="100000,100000" path="" filled="f" strokecolor="#000000" strokeweight="0.75pt">
                  <v:path textboxrect="0,0,0,0"/>
                </v:shape>
                <v:shape id="shape 2" o:spid="_x0000_s2" o:spt="20" style="position:absolute;left:37;top:14;width:4;height:4;flip:y;" coordsize="100000,100000" path="" filled="f" strokecolor="#000000" strokeweight="0.75pt">
                  <v:path textboxrect="0,0,0,0"/>
                </v:shape>
                <v:shape id="shape 3" o:spid="_x0000_s3" o:spt="20" style="position:absolute;left:37;top:28;width:4;height:2;" coordsize="100000,100000" path="" filled="f" strokecolor="#000000" strokeweight="0.75pt">
                  <v:path textboxrect="0,0,0,0"/>
                </v:shape>
                <v:shape id="shape 4" o:spid="_x0000_s4" o:spt="20" style="position:absolute;left:41;top:14;width:0;height:17;" coordsize="100000,100000" path="" filled="f" strokecolor="#000000" strokeweight="0.75pt">
                  <v:path textboxrect="0,0,0,0"/>
                </v:shape>
                <v:shape id="shape 5" o:spid="_x0000_s5" o:spt="20" style="position:absolute;left:41;top:21;width:7;height:0;" coordsize="100000,100000" path="" filled="f" strokecolor="#000000" strokeweight="0.75pt">
                  <v:path textboxrect="0,0,0,0"/>
                </v:shape>
                <v:shape id="shape 6" o:spid="_x0000_s6" o:spt="3" style="position:absolute;left:48;top:18;width:7;height:7;" coordsize="100000,100000" path="" fillcolor="#FFFFFF" strokecolor="#000000" strokeweight="0.75pt">
                  <v:path textboxrect="0,0,0,0"/>
                </v:shape>
                <v:shape id="shape 7" o:spid="_x0000_s7" o:spt="20" style="position:absolute;left:56;top:21;width:14;height:0;" coordsize="100000,100000" path="" filled="f" strokecolor="#000000" strokeweight="0.75pt">
                  <v:path textboxrect="0,0,0,0"/>
                </v:shape>
                <v:shape id="shape 8" o:spid="_x0000_s8" o:spt="3" style="position:absolute;left:69;top:19;width:5;height:5;" coordsize="100000,100000" path="" fillcolor="#FFFFFF" strokecolor="#000000" strokeweight="0.75pt">
                  <v:path textboxrect="0,0,0,0"/>
                </v:shape>
                <v:shape id="shape 9" o:spid="_x0000_s9" o:spt="3" style="position:absolute;left:73;top:19;width:5;height:5;" coordsize="100000,100000" path="" fillcolor="#FFFFFF" strokecolor="#000000" strokeweight="0.75pt">
                  <v:path textboxrect="0,0,0,0"/>
                  <v:fill opacity="100f"/>
                </v:shape>
                <v:shape id="shape 10" o:spid="_x0000_s10" o:spt="20" style="position:absolute;left:79;top:21;width:8;height:0;" coordsize="100000,100000" path="" filled="f" strokecolor="#000000" strokeweight="0.75pt">
                  <v:path textboxrect="0,0,0,0"/>
                </v:shape>
                <v:shape id="shape 11" o:spid="_x0000_s11" o:spt="20" style="position:absolute;left:87;top:18;width:0;height:10;" coordsize="100000,100000" path="" filled="f" strokecolor="#000000" strokeweight="0.75pt">
                  <v:path textboxrect="0,0,0,0"/>
                </v:shape>
                <v:shape id="shape 12" o:spid="_x0000_s12" o:spt="20" style="position:absolute;left:37;top:12;width:0;height:5;" coordsize="100000,100000" path="" filled="f" strokecolor="#000000" strokeweight="0.75pt">
                  <v:path textboxrect="0,0,0,0"/>
                </v:shape>
                <v:shape id="shape 13" o:spid="_x0000_s13" o:spt="20" style="position:absolute;left:31;top:12;width:5;height:0;flip:x;" coordsize="100000,100000" path="" filled="f" strokecolor="#000000" strokeweight="0.75pt">
                  <v:path textboxrect="0,0,0,0"/>
                </v:shape>
                <v:shape id="shape 14" o:spid="_x0000_s14" o:spt="20" style="position:absolute;left:87;top:21;width:10;height:0;" coordsize="100000,100000" path="" filled="f" strokecolor="#000000" strokeweight="0.75pt">
                  <v:path textboxrect="0,0,0,0"/>
                </v:shape>
                <v:shape id="shape 15" o:spid="_x0000_s15" o:spt="1" style="position:absolute;left:24;top:9;width:7;height:7;v-text-anchor:top;" coordsize="100000,100000" path="" fillcolor="#FFFFFF" strokecolor="#000000" strokeweight="0.75pt">
                  <v:path textboxrect="0,0,0,0"/>
                  <v:textbox>
                    <w:txbxContent>
                      <w:p>
                        <w:r>
                          <w:t xml:space="preserve">ПГ</w:t>
                        </w:r>
                        <w:r/>
                      </w:p>
                    </w:txbxContent>
                  </v:textbox>
                </v:shape>
                <v:shape id="shape 16" o:spid="_x0000_s16" style="position:absolute;left:50;top:21;width:3;height:1;" coordsize="100000,100000" path="m0,99996l0,99996c11387,50661,22773,1322,34306,661l34306,661c45838,0,58394,93377,69343,95029l69343,95029c80292,96686,94889,24832,100000,10594e" filled="f" strokecolor="#000000" strokeweight="0.75pt">
                  <v:path textboxrect="0,0,100000,99995"/>
                </v:shape>
                <v:shape id="shape 17" o:spid="_x0000_s17" o:spt="1" style="position:absolute;left:38;top:21;width:2;height:3;v-text-anchor:top;" coordsize="100000,100000" path="" filled="f" stroked="f">
                  <v:path textboxrect="0,0,0,0"/>
                  <v:textbox>
                    <w:txbxContent>
                      <w:p>
                        <w:pPr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 xml:space="preserve">Т</w:t>
                        </w:r>
                        <w:r/>
                      </w:p>
                    </w:txbxContent>
                  </v:textbox>
                </v:shape>
                <v:shape id="shape 18" o:spid="_x0000_s18" o:spt="1" style="position:absolute;left:73;top:26;width:2;height:3;v-text-anchor:top;" coordsize="100000,100000" path="" filled="f" stroked="f">
                  <v:path textboxrect="0,0,0,0"/>
                  <v:textbox>
                    <w:txbxContent>
                      <w:p>
                        <w:pPr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 xml:space="preserve">Т</w:t>
                        </w:r>
                        <w:r/>
                      </w:p>
                    </w:txbxContent>
                  </v:textbox>
                </v:shape>
                <v:shape id="shape 19" o:spid="_x0000_s19" o:spt="1" style="position:absolute;left:51;top:26;width:2;height:3;v-text-anchor:top;" coordsize="100000,100000" path="" filled="f" stroked="f">
                  <v:path textboxrect="0,0,0,0"/>
                  <v:textbox>
                    <w:txbxContent>
                      <w:p>
                        <w:pPr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  <w:lang w:val="en-US"/>
                          </w:rPr>
                          <w:t xml:space="preserve">G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851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284" w:firstLine="567"/>
        <w:jc w:val="center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284" w:firstLine="567"/>
        <w:jc w:val="center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360" w:lineRule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 – Блочная т</w:t>
      </w:r>
      <w:r>
        <w:rPr>
          <w:rFonts w:ascii="Times New Roman" w:hAnsi="Times New Roman" w:cs="Times New Roman"/>
          <w:sz w:val="28"/>
          <w:szCs w:val="28"/>
        </w:rPr>
        <w:t xml:space="preserve">епловая схема станции</w:t>
      </w:r>
      <w:r/>
    </w:p>
    <w:p>
      <w:pPr>
        <w:jc w:val="center"/>
        <w:spacing w:after="0" w:line="360" w:lineRule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64"/>
        <w:numPr>
          <w:ilvl w:val="0"/>
          <w:numId w:val="1"/>
        </w:numPr>
        <w:contextualSpacing w:val="0"/>
        <w:ind w:left="0" w:firstLine="709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производительности пара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выбираемых парогенераторов должно выполняться условие: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05"/>
        <w:gridCol w:w="851"/>
      </w:tblGrid>
      <w:tr>
        <w:trPr/>
        <w:tc>
          <w:tcPr>
            <w:tcW w:w="8505" w:type="dxa"/>
            <w:vAlign w:val="center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Д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НПг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Д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Нт</m:t>
                    </m:r>
                  </m:sub>
                </m:sSub>
                <m:r>
                  <w:rPr>
                    <w:rFonts w:ascii="Cambria Math" w:hAnsi="Cambria Math" w:cs="Times New Roman" w:eastAsiaTheme="minorEastAsia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(2)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НПг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номинальная производительность пара парогенератора, Т/час;</w:t>
      </w:r>
      <w:r/>
    </w:p>
    <w:p>
      <w:pPr>
        <w:ind w:firstLine="113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Нт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номинальный расход пара на турбину, Т/час</w:t>
      </w:r>
      <w:r/>
    </w:p>
    <w:p>
      <w:pPr>
        <w:pStyle w:val="664"/>
        <w:numPr>
          <w:ilvl w:val="0"/>
          <w:numId w:val="1"/>
        </w:numPr>
        <w:contextualSpacing w:val="0"/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количеству энергоблоков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оличество парогенераторов на станции </w:t>
      </w:r>
      <w:r>
        <w:rPr>
          <w:rFonts w:ascii="Times New Roman" w:hAnsi="Times New Roman" w:cs="Times New Roman"/>
          <w:sz w:val="28"/>
          <w:szCs w:val="28"/>
        </w:rPr>
        <w:t xml:space="preserve">должно быть </w:t>
      </w:r>
      <w:r>
        <w:rPr>
          <w:rFonts w:ascii="Times New Roman" w:hAnsi="Times New Roman" w:cs="Times New Roman"/>
          <w:sz w:val="28"/>
          <w:szCs w:val="28"/>
        </w:rPr>
        <w:t xml:space="preserve">равно количеству турбин.</w:t>
      </w:r>
      <w:r/>
    </w:p>
    <w:p>
      <w:pPr>
        <w:pStyle w:val="664"/>
        <w:numPr>
          <w:ilvl w:val="0"/>
          <w:numId w:val="1"/>
        </w:numPr>
        <w:contextualSpacing w:val="0"/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конструкции:</w:t>
      </w:r>
      <w:r/>
    </w:p>
    <w:p>
      <w:pPr>
        <w:pStyle w:val="664"/>
        <w:numPr>
          <w:ilvl w:val="0"/>
          <w:numId w:val="1"/>
        </w:numPr>
        <w:contextualSpacing w:val="0"/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виду сжигаемого топлива: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топлива должен соответствовать заданному в задании к курсовому проекту.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выбранных парогенераторов сносятся в таблицу 1.3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парогенератора</w:t>
      </w:r>
      <w:r/>
    </w:p>
    <w:tbl>
      <w:tblPr>
        <w:tblStyle w:val="665"/>
        <w:tblW w:w="96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2977"/>
        <w:gridCol w:w="1308"/>
      </w:tblGrid>
      <w:tr>
        <w:trPr/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Тип котла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Температура свежего пара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Паропроизво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дительность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/час</w:t>
            </w:r>
            <w:r/>
          </w:p>
        </w:tc>
        <w:tc>
          <w:tcPr>
            <w:tcW w:w="1308" w:type="dxa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Топливо</w:t>
            </w:r>
            <w:r/>
          </w:p>
        </w:tc>
      </w:tr>
      <w:tr>
        <w:trPr>
          <w:trHeight w:val="454"/>
        </w:trPr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08" w:type="dxa"/>
            <w:textDirection w:val="lrTb"/>
            <w:noWrap w:val="false"/>
          </w:tcPr>
          <w:p>
            <w:pPr>
              <w:contextualSpacing/>
              <w:jc w:val="both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ind w:firstLine="709"/>
        <w:spacing w:after="36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ВЫБОР ГЛАВНОЙ СХЕМЫ СТАНЦИИ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схема электрических соединений электростанции – это совокупность основного электрооборудования (генераторы, трансформаторы, линии), сборных шин, коммутационной и другой первичной аппаратуры со всеми выполненными между ними соединениями.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главной схемы является определяющим при проектировании электрической части эл</w:t>
      </w:r>
      <w:r>
        <w:rPr>
          <w:rFonts w:ascii="Times New Roman" w:hAnsi="Times New Roman" w:cs="Times New Roman"/>
          <w:sz w:val="28"/>
          <w:szCs w:val="28"/>
        </w:rPr>
        <w:t xml:space="preserve">ектростанции, так как он определяет полный состав элементов и связей между ними. Выбранная главная схема является исходной при составлении принципиальных схем электрических соединений, схем собственных нужд, схем вторичных соединений, монтажных схем и т.д.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проектировании электроустановки до разработки главной схемы составляется структурная схема выдачи электроэнергии (мощности), на которой показываются основные функциональные ча</w:t>
      </w:r>
      <w:r>
        <w:rPr>
          <w:rFonts w:ascii="Times New Roman" w:hAnsi="Times New Roman" w:cs="Times New Roman"/>
          <w:sz w:val="28"/>
          <w:szCs w:val="28"/>
        </w:rPr>
        <w:t xml:space="preserve">сти электроустановки (распределительные устройства, трансформаторы, генераторы) и связи между ними. Структурные схемы служат для дальнейшей разработки более подробных и полных принципиальных схем, а также для общего ознакомления с работой электроустановки.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мощных ГРЭС выдача электроэнергии в энергосистему происходит на двух, а иногда на трех повышенных напряжениях. Связь между распределительными устройствами разного напряжения осуществляется обычно с помощью автотрансформаторов (рисунок 2.1).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Мощность автотрансформаторов выбирается по максимальному </w:t>
      </w:r>
      <w:r>
        <w:rPr>
          <w:rFonts w:ascii="Times New Roman" w:hAnsi="Times New Roman" w:cs="Times New Roman"/>
          <w:sz w:val="28"/>
          <w:szCs w:val="28"/>
        </w:rPr>
        <w:t xml:space="preserve">перетоку</w:t>
      </w:r>
      <w:r>
        <w:rPr>
          <w:rFonts w:ascii="Times New Roman" w:hAnsi="Times New Roman" w:cs="Times New Roman"/>
          <w:sz w:val="28"/>
          <w:szCs w:val="28"/>
        </w:rPr>
        <w:t xml:space="preserve"> между распределительными устройствами высшего и среднего напряжения, который определяется по наиболее тяжелому режиму.</w:t>
      </w:r>
      <w:r/>
    </w:p>
    <w:p>
      <w:pPr>
        <w:contextualSpacing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25915" cy="1828800"/>
                <wp:effectExtent l="0" t="0" r="3810" b="0"/>
                <wp:docPr id="2" name="Рисунок 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234281" cy="1831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490.2pt;height:144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contextualSpacing/>
        <w:ind w:firstLine="284"/>
        <w:jc w:val="center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2.1 – Структурные схемы ГРЭС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автотрансформаторов связи определяется схемой прилегающего района энергосистемы. При наличии дополнительных связей между линиями высшего и среднего напряжения в эне</w:t>
      </w:r>
      <w:r>
        <w:rPr>
          <w:rFonts w:ascii="Times New Roman" w:hAnsi="Times New Roman" w:cs="Times New Roman"/>
          <w:sz w:val="28"/>
          <w:szCs w:val="28"/>
        </w:rPr>
        <w:t xml:space="preserve">ргосистеме на электростанции может быть установлен один автотрансформатор, а в некоторых случаях возможен отказ от установки автотрансформатора связи. При таком решении упрощается конструкция РУ и уменьшаются токи КЗ на шинах высшего и среднего напряжения.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связей меж</w:t>
      </w:r>
      <w:r>
        <w:rPr>
          <w:rFonts w:ascii="Times New Roman" w:hAnsi="Times New Roman" w:cs="Times New Roman"/>
          <w:sz w:val="28"/>
          <w:szCs w:val="28"/>
        </w:rPr>
        <w:t xml:space="preserve">ду линиями высшего и среднего напряжения в рассматриваемом районе энергосистемы нет (согласно климатическому району), то устанавливаются два автотрансформатора (рисунок 2.1, б). Возможна установка автотрансформаторов в блоке с генератором (рисунок 2.1, в).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К схемам электрических станций предъявляют следующие требования:</w:t>
      </w:r>
      <w:r/>
    </w:p>
    <w:p>
      <w:pPr>
        <w:ind w:firstLine="709"/>
        <w:jc w:val="both"/>
        <w:spacing w:after="0" w:line="360" w:lineRule="auto"/>
        <w:tabs>
          <w:tab w:val="left" w:pos="1134" w:leader="none"/>
          <w:tab w:val="left" w:pos="3119" w:leader="none"/>
          <w:tab w:val="left" w:pos="5103" w:leader="none"/>
          <w:tab w:val="left" w:pos="6804" w:leader="none"/>
          <w:tab w:val="left" w:pos="7938" w:leader="none"/>
          <w:tab w:val="left" w:pos="8505" w:leader="none"/>
          <w:tab w:val="left" w:pos="9072" w:leader="none"/>
        </w:tabs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н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адёжность электроснабжения потребителей.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п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риспособленность к проведению ремонтных работ.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о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перативная гибкость схемы.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- э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кономическая целесообразность.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Учитывая это, намечаются два варианта структурной схемы выдачи мощности проектируемой электростанции.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eastAsia="ru-RU"/>
        </w:rPr>
        <w:t xml:space="preserve">В обоих вариантах в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се генераторы соединяться в блоки с повышающими трансформаторами. Электроэнергия выдаётся на высшем и среднем напряжении, связь между РУ осуществляется автотрансформаторами связи. </w:t>
      </w: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ind w:firstLine="709"/>
        <w:spacing w:after="36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 ВЫБОР СИЛОВЫХ ТРАНСФОРМАТОРОВ</w:t>
      </w:r>
      <w:r/>
    </w:p>
    <w:p>
      <w:pPr>
        <w:ind w:firstLine="709"/>
        <w:jc w:val="both"/>
        <w:spacing w:after="24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Выбор трансформаторов для первого варианта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блочных трансформаторов</w:t>
      </w:r>
      <w:r/>
    </w:p>
    <w:p>
      <w:pPr>
        <w:contextualSpacing/>
        <w:ind w:firstLine="709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Определяем мощность, расходуемую на собственные нужды станции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сн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%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100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(3)</w:t>
            </w:r>
            <w:r/>
          </w:p>
        </w:tc>
      </w:tr>
    </w:tbl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где</w:t>
      </w:r>
      <w:r>
        <w:rPr>
          <w:rFonts w:ascii="GOST type A" w:hAnsi="GOST type A"/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сн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rPr/>
          <m:t>%</m:t>
        </m:r>
      </m:oMath>
      <w:r>
        <w:rPr>
          <w:rFonts w:ascii="Times New Roman" w:hAnsi="Times New Roman" w:cs="Times New Roman"/>
          <w:sz w:val="28"/>
          <w:szCs w:val="28"/>
        </w:rPr>
        <w:t xml:space="preserve">– нормативный расход топлива</w:t>
      </w:r>
      <w:r>
        <w:rPr>
          <w:rFonts w:ascii="Times New Roman" w:hAnsi="Times New Roman" w:cs="Times New Roman"/>
          <w:sz w:val="28"/>
          <w:szCs w:val="28"/>
        </w:rPr>
        <w:t xml:space="preserve">: для газа 3-5%;</w:t>
      </w:r>
      <w:r/>
    </w:p>
    <w:p>
      <w:pPr>
        <w:ind w:firstLine="1276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с</m:t>
            </m:r>
          </m:sub>
        </m:sSub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коэффициент спроса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для ГРЭС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rPr/>
          <m:t>=0,9</m:t>
        </m:r>
      </m:oMath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firstLine="1276"/>
        <w:jc w:val="both"/>
        <w:spacing w:after="0" w:line="360" w:lineRule="auto"/>
        <w:tabs>
          <w:tab w:val="left" w:pos="567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г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активная мощность генератора, МВт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contextualSpacing/>
        <w:ind w:firstLine="709"/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Определяем мощность,</w:t>
      </w:r>
      <w:r>
        <w:rPr>
          <w:rFonts w:ascii="Times New Roman" w:hAnsi="Times New Roman" w:cs="Times New Roman"/>
          <w:sz w:val="28"/>
          <w:szCs w:val="28"/>
        </w:rPr>
        <w:t xml:space="preserve"> проходящую через трансформатор: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сн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(4)</w:t>
            </w:r>
            <w:r/>
          </w:p>
        </w:tc>
      </w:tr>
    </w:tbl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где</w:t>
      </w:r>
      <w:r>
        <w:rPr>
          <w:rFonts w:ascii="GOST type A" w:hAnsi="GOST type A"/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г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– номинальная мощность генератора, МВА;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тип трансформатора по условию: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≥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</w:tr>
    </w:tbl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где</w:t>
      </w:r>
      <w:r>
        <w:rPr>
          <w:rFonts w:ascii="GOST type A" w:hAnsi="GOST type A"/>
          <w:iCs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нт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– номинальная мощность трансформатора, МВ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трансформаторов сводим в таблицу 3.1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3.1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Технические характеристики трансформаторов</w:t>
      </w:r>
      <w:r>
        <w:rPr>
          <w:rFonts w:ascii="Times New Roman" w:hAnsi="Times New Roman" w:cs="Times New Roman"/>
          <w:sz w:val="28"/>
          <w:szCs w:val="28"/>
        </w:rPr>
        <w:t xml:space="preserve"> для первого варианта</w:t>
      </w:r>
      <w:r/>
    </w:p>
    <w:tbl>
      <w:tblPr>
        <w:tblW w:w="985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679"/>
        <w:gridCol w:w="680"/>
        <w:gridCol w:w="680"/>
        <w:gridCol w:w="681"/>
        <w:gridCol w:w="680"/>
        <w:gridCol w:w="680"/>
        <w:gridCol w:w="680"/>
        <w:gridCol w:w="681"/>
        <w:gridCol w:w="680"/>
        <w:gridCol w:w="680"/>
        <w:gridCol w:w="680"/>
        <w:gridCol w:w="681"/>
      </w:tblGrid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restart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трансформатора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Напряжение,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Потери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кВт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%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%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ind w:left="-128"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автотрансформаторов связи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Мощность АТ выбира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ем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 по максимальному 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перетоку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 между распределительными устройствами высшего и среднего напряжения, который определяе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  <w:t xml:space="preserve">тся по наиболее тяжёлому из четырех режимов: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максимальный режим: </w:t>
      </w:r>
      <w:r>
        <w:rPr>
          <w:rFonts w:ascii="Times New Roman" w:hAnsi="Times New Roman" w:cs="Times New Roman"/>
          <w:sz w:val="28"/>
          <w:szCs w:val="28"/>
        </w:rPr>
        <w:t xml:space="preserve">если с шин среднего напряжения потребляется максимальная мощность: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 АТ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max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∑S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∑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сн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max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∑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г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суммарная мощность генераторов, подключённых к шинам среднего напряжения, МВА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firstLine="1276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r>
          <w:rPr>
            <w:rFonts w:ascii="Cambria Math" w:hAnsi="Cambria Math" w:cs="Times New Roman"/>
            <w:sz w:val="28"/>
            <w:szCs w:val="28"/>
          </w:rPr>
          <m:rPr/>
          <m:t>∑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сн</m:t>
            </m:r>
          </m:sub>
        </m:sSub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– суммарная мощность собственных нужд данных генераторов, МВА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firstLine="1276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sSubSup>
          <m:sSubSupPr>
            <m:alnScr m:val="off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потр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rPr/>
              <m:t>max</m:t>
            </m:r>
          </m:sup>
        </m:sSubSup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максимальная потребляемая мощность с шин среднего напряж</w:t>
      </w:r>
      <w:r>
        <w:rPr>
          <w:rFonts w:ascii="Times New Roman" w:hAnsi="Times New Roman" w:cs="Times New Roman"/>
          <w:sz w:val="28"/>
          <w:szCs w:val="28"/>
        </w:rPr>
        <w:t xml:space="preserve">ения</w:t>
      </w:r>
      <w:r>
        <w:rPr>
          <w:rFonts w:ascii="Times New Roman" w:hAnsi="Times New Roman" w:cs="Times New Roman"/>
          <w:sz w:val="28"/>
          <w:szCs w:val="28"/>
        </w:rPr>
        <w:t xml:space="preserve">, МВА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max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Cosφ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max</m:t>
            </m:r>
          </m:sub>
        </m:sSub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максимальная мощность потребителей (указана в задании к курсовому проекту), МВт.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минимальный режим: </w:t>
      </w:r>
      <w:r>
        <w:rPr>
          <w:rFonts w:ascii="Times New Roman" w:hAnsi="Times New Roman" w:cs="Times New Roman"/>
          <w:sz w:val="28"/>
          <w:szCs w:val="28"/>
        </w:rPr>
        <w:t xml:space="preserve">если с шин среднего напряжения потребляется минимальная мощность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 АТ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min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∑S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∑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сн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min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(8)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Sup>
          <m:sSubSupPr>
            <m:alnScr m:val="off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потр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rPr/>
              <m:t>m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in</m:t>
            </m:r>
          </m:sup>
        </m:sSubSup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минимальная</w:t>
      </w:r>
      <w:r>
        <w:rPr>
          <w:rFonts w:ascii="Times New Roman" w:hAnsi="Times New Roman" w:cs="Times New Roman"/>
          <w:sz w:val="28"/>
          <w:szCs w:val="28"/>
        </w:rPr>
        <w:t xml:space="preserve"> потребляемая мощность с шин среднего напряж</w:t>
      </w:r>
      <w:r>
        <w:rPr>
          <w:rFonts w:ascii="Times New Roman" w:hAnsi="Times New Roman" w:cs="Times New Roman"/>
          <w:sz w:val="28"/>
          <w:szCs w:val="28"/>
        </w:rPr>
        <w:t xml:space="preserve">ения</w:t>
      </w:r>
      <w:r>
        <w:rPr>
          <w:rFonts w:ascii="Times New Roman" w:hAnsi="Times New Roman" w:cs="Times New Roman"/>
          <w:sz w:val="28"/>
          <w:szCs w:val="28"/>
        </w:rPr>
        <w:t xml:space="preserve">, МВА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in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min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Cosφ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(9)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max</m:t>
            </m:r>
          </m:sub>
        </m:sSub>
      </m:oMath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минимальная мощность потребителей (указана в задании к курсовому проекту), МВт.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ремонтный режим</w:t>
      </w:r>
      <w:r>
        <w:rPr>
          <w:rFonts w:ascii="Times New Roman" w:hAnsi="Times New Roman" w:cs="Times New Roman"/>
          <w:sz w:val="28"/>
          <w:szCs w:val="28"/>
        </w:rPr>
        <w:t xml:space="preserve">: если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вывод в ремонт </w:t>
      </w:r>
      <w:r>
        <w:rPr>
          <w:rFonts w:ascii="Times New Roman" w:hAnsi="Times New Roman" w:cs="Times New Roman"/>
          <w:sz w:val="28"/>
          <w:szCs w:val="28"/>
        </w:rPr>
        <w:t xml:space="preserve">одного из блоков (самого мощного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 рем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max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nary>
                  <m:naryPr>
                    <m:chr m:val="∑"/>
                    <m:grow m:val="off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Cambria Math" w:eastAsia="Cambria Math"/>
                      </w:rPr>
                      <m:rPr/>
                      <m:t/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n-1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г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nary>
                  <m:naryPr>
                    <m:chr m:val="∑"/>
                    <m:grow m:val="off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Cambria Math" w:eastAsia="Cambria Math"/>
                      </w:rPr>
                      <m:rPr/>
                      <m:t/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n-1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сн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max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(10)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расч рем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min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nary>
                  <m:naryPr>
                    <m:chr m:val="∑"/>
                    <m:grow m:val="off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Cambria Math" w:eastAsia="Cambria Math"/>
                      </w:rPr>
                      <m:rPr/>
                      <m:t/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n-1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г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nary>
                  <m:naryPr>
                    <m:chr m:val="∑"/>
                    <m:grow m:val="off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 w:cs="Cambria Math" w:eastAsia="Cambria Math"/>
                      </w:rPr>
                      <m:rPr/>
                      <m:t/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n-1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сн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потр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min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(11)</w:t>
            </w:r>
            <w:r/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аварийный режим: если один из блоков вышел из строя (самый мощный). Здесь расчетные мощности будут идентичны мощностям, рассчитанным в ремонтном режиме, поэтому рассчитывать аварийный режим нет необходимости.</w:t>
      </w:r>
      <w:r/>
    </w:p>
    <w:p>
      <w:pPr>
        <w:ind w:firstLine="709"/>
        <w:spacing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Выбираем автотрансформаторы по условию:</w:t>
      </w:r>
      <w:r/>
    </w:p>
    <w:tbl>
      <w:tblPr>
        <w:tblStyle w:val="665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851"/>
      </w:tblGrid>
      <w:tr>
        <w:trPr/>
        <w:tc>
          <w:tcPr>
            <w:tcW w:w="8642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нт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≥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наиб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ав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,</m:t>
                </m:r>
              </m:oMath>
            </m:oMathPara>
            <w:r/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right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</w:tr>
    </w:tbl>
    <w:p>
      <w:pPr>
        <w:ind w:firstLine="709"/>
        <w:spacing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г</w:t>
      </w:r>
      <w:r>
        <w:rPr>
          <w:rFonts w:ascii="Times New Roman" w:hAnsi="Times New Roman"/>
          <w:sz w:val="28"/>
          <w:szCs w:val="24"/>
        </w:rPr>
        <w:t xml:space="preserve">де</w:t>
      </w:r>
      <w:r>
        <w:rPr>
          <w:rFonts w:ascii="Times New Roman" w:hAnsi="Times New Roman"/>
          <w:sz w:val="28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наиб</m:t>
            </m:r>
          </m:sub>
        </m:sSub>
      </m:oMath>
      <w:r>
        <w:rPr>
          <w:rFonts w:ascii="Times New Roman" w:hAnsi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–</w:t>
      </w:r>
      <w:r>
        <w:rPr>
          <w:rFonts w:ascii="Times New Roman" w:hAnsi="Times New Roman"/>
          <w:sz w:val="28"/>
          <w:szCs w:val="24"/>
        </w:rPr>
        <w:t xml:space="preserve"> наибольшая мощность расчетных режимов</w:t>
      </w:r>
      <w:r>
        <w:rPr>
          <w:rFonts w:ascii="Times New Roman" w:hAnsi="Times New Roman"/>
          <w:sz w:val="28"/>
          <w:szCs w:val="24"/>
        </w:rPr>
        <w:t xml:space="preserve"> (</w:t>
      </w:r>
      <w:r>
        <w:rPr>
          <w:rFonts w:ascii="Times New Roman" w:hAnsi="Times New Roman"/>
          <w:sz w:val="28"/>
          <w:szCs w:val="24"/>
        </w:rPr>
        <w:t xml:space="preserve">по модулю)</w:t>
      </w:r>
      <w:r>
        <w:rPr>
          <w:rFonts w:ascii="Times New Roman" w:hAnsi="Times New Roman"/>
          <w:sz w:val="28"/>
          <w:szCs w:val="24"/>
        </w:rPr>
        <w:t xml:space="preserve">;</w:t>
      </w:r>
      <w:r/>
    </w:p>
    <w:p>
      <w:pPr>
        <w:ind w:firstLine="1134"/>
        <w:spacing w:after="0" w:line="360" w:lineRule="auto"/>
        <w:rPr>
          <w:rFonts w:ascii="Times New Roman" w:hAnsi="Times New Roman"/>
          <w:sz w:val="28"/>
          <w:szCs w:val="24"/>
        </w:rPr>
      </w:pPr>
      <w:r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ав</m:t>
            </m:r>
          </m:sub>
        </m:sSub>
      </m:oMath>
      <w:r>
        <w:rPr>
          <w:rFonts w:ascii="Times New Roman" w:hAnsi="Times New Roman"/>
          <w:sz w:val="28"/>
          <w:szCs w:val="24"/>
        </w:rPr>
        <w:t xml:space="preserve"> – коэффициент аварийной перегрузки</w:t>
      </w:r>
      <w:r>
        <w:rPr>
          <w:rFonts w:ascii="Times New Roman" w:hAnsi="Times New Roman"/>
          <w:sz w:val="28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ав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rPr/>
          <m:t>=1,4</m:t>
        </m:r>
      </m:oMath>
      <w:r>
        <w:rPr>
          <w:rFonts w:ascii="Times New Roman" w:hAnsi="Times New Roman" w:eastAsiaTheme="minorEastAsia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</w:t>
      </w:r>
      <w:r>
        <w:rPr>
          <w:rFonts w:ascii="Times New Roman" w:hAnsi="Times New Roman" w:cs="Times New Roman"/>
          <w:sz w:val="28"/>
          <w:szCs w:val="28"/>
        </w:rPr>
        <w:t xml:space="preserve">автотрансформаторы, </w:t>
      </w: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 xml:space="preserve">сносим </w:t>
      </w:r>
      <w:r>
        <w:rPr>
          <w:rFonts w:ascii="Times New Roman" w:hAnsi="Times New Roman" w:cs="Times New Roman"/>
          <w:sz w:val="28"/>
          <w:szCs w:val="28"/>
        </w:rPr>
        <w:t xml:space="preserve">в таблицу 3.2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3.2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 xml:space="preserve">авто</w:t>
      </w:r>
      <w:r>
        <w:rPr>
          <w:rFonts w:ascii="Times New Roman" w:hAnsi="Times New Roman" w:cs="Times New Roman"/>
          <w:sz w:val="28"/>
          <w:szCs w:val="28"/>
        </w:rPr>
        <w:t xml:space="preserve">трансформаторов</w:t>
      </w:r>
      <w:r>
        <w:rPr>
          <w:rFonts w:ascii="Times New Roman" w:hAnsi="Times New Roman" w:cs="Times New Roman"/>
          <w:sz w:val="28"/>
          <w:szCs w:val="28"/>
        </w:rPr>
        <w:t xml:space="preserve"> для первого варианта</w:t>
      </w:r>
      <w:r/>
    </w:p>
    <w:tbl>
      <w:tblPr>
        <w:tblW w:w="985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679"/>
        <w:gridCol w:w="680"/>
        <w:gridCol w:w="680"/>
        <w:gridCol w:w="681"/>
        <w:gridCol w:w="680"/>
        <w:gridCol w:w="680"/>
        <w:gridCol w:w="680"/>
        <w:gridCol w:w="681"/>
        <w:gridCol w:w="680"/>
        <w:gridCol w:w="680"/>
        <w:gridCol w:w="680"/>
        <w:gridCol w:w="681"/>
      </w:tblGrid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restart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трансформатора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Напряжение,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Потери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кВт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%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%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ind w:left="-128"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firstLine="851"/>
        <w:jc w:val="both"/>
        <w:spacing w:before="360" w:after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>
        <w:rPr>
          <w:rFonts w:ascii="Times New Roman" w:hAnsi="Times New Roman" w:cs="Times New Roman"/>
          <w:sz w:val="28"/>
          <w:szCs w:val="28"/>
        </w:rPr>
        <w:t xml:space="preserve">Выбор трансформаторов для второго варианта</w:t>
      </w:r>
      <w:r/>
    </w:p>
    <w:p>
      <w:pPr>
        <w:ind w:firstLine="851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блочных трансформаторов для второго варианта осуществляется на основании расчетов, выполненных для первого варианта с той лишь разницей, что количество блочных трансформаторов на разных напряжениях выбирается согласно схеме второго варианта.</w:t>
      </w:r>
      <w:r/>
    </w:p>
    <w:p>
      <w:pPr>
        <w:ind w:firstLine="851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</w:t>
      </w:r>
      <w:r>
        <w:rPr>
          <w:rFonts w:ascii="Times New Roman" w:hAnsi="Times New Roman" w:cs="Times New Roman"/>
          <w:sz w:val="28"/>
          <w:szCs w:val="28"/>
        </w:rPr>
        <w:t xml:space="preserve"> автотрансформаторов для второго вар</w:t>
      </w:r>
      <w:r>
        <w:rPr>
          <w:rFonts w:ascii="Times New Roman" w:hAnsi="Times New Roman" w:cs="Times New Roman"/>
          <w:sz w:val="28"/>
          <w:szCs w:val="28"/>
        </w:rPr>
        <w:t xml:space="preserve">ианта осуществляется методом, аналогичным </w:t>
      </w:r>
      <w:r>
        <w:rPr>
          <w:rFonts w:ascii="Times New Roman" w:hAnsi="Times New Roman" w:cs="Times New Roman"/>
          <w:sz w:val="28"/>
          <w:szCs w:val="28"/>
        </w:rPr>
        <w:t xml:space="preserve">первому варианту.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firstLine="851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выбранных автотран</w:t>
      </w:r>
      <w:r>
        <w:rPr>
          <w:rFonts w:ascii="Times New Roman" w:hAnsi="Times New Roman" w:cs="Times New Roman"/>
          <w:sz w:val="28"/>
          <w:szCs w:val="28"/>
        </w:rPr>
        <w:t xml:space="preserve">сформаторов сносим в таблицу 3.3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3.2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Технические характеристики </w:t>
      </w:r>
      <w:r>
        <w:rPr>
          <w:rFonts w:ascii="Times New Roman" w:hAnsi="Times New Roman" w:cs="Times New Roman"/>
          <w:sz w:val="28"/>
          <w:szCs w:val="28"/>
        </w:rPr>
        <w:t xml:space="preserve">авто</w:t>
      </w:r>
      <w:r>
        <w:rPr>
          <w:rFonts w:ascii="Times New Roman" w:hAnsi="Times New Roman" w:cs="Times New Roman"/>
          <w:sz w:val="28"/>
          <w:szCs w:val="28"/>
        </w:rPr>
        <w:t xml:space="preserve">трансформаторов</w:t>
      </w:r>
      <w:r>
        <w:rPr>
          <w:rFonts w:ascii="Times New Roman" w:hAnsi="Times New Roman" w:cs="Times New Roman"/>
          <w:sz w:val="28"/>
          <w:szCs w:val="28"/>
        </w:rPr>
        <w:t xml:space="preserve"> для второго варианта</w:t>
      </w:r>
      <w:r/>
    </w:p>
    <w:tbl>
      <w:tblPr>
        <w:tblW w:w="985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679"/>
        <w:gridCol w:w="680"/>
        <w:gridCol w:w="680"/>
        <w:gridCol w:w="681"/>
        <w:gridCol w:w="680"/>
        <w:gridCol w:w="680"/>
        <w:gridCol w:w="680"/>
        <w:gridCol w:w="681"/>
        <w:gridCol w:w="680"/>
        <w:gridCol w:w="680"/>
        <w:gridCol w:w="680"/>
        <w:gridCol w:w="681"/>
      </w:tblGrid>
      <w:tr>
        <w:trPr>
          <w:trHeight w:val="3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restart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трансформатора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Напряжение,</w:t>
            </w:r>
            <w:r/>
          </w:p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МВА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Потери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кВт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Iхх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%</w:t>
            </w:r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204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Uк.з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%</w:t>
            </w:r>
            <w:r/>
          </w:p>
        </w:tc>
      </w:tr>
      <w:tr>
        <w:trPr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696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79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68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ind w:left="-128"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</w:t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>
          <w:trHeight w:val="45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6" w:type="dxa"/>
            <w:vAlign w:val="center"/>
            <w:textDirection w:val="lrTb"/>
            <w:noWrap/>
          </w:tcPr>
          <w:p>
            <w:pPr>
              <w:contextualSpacing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79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0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81" w:type="dxa"/>
            <w:vAlign w:val="center"/>
            <w:textDirection w:val="lrTb"/>
            <w:noWrap/>
          </w:tcPr>
          <w:p>
            <w:pPr>
              <w:contextualSpacing/>
              <w:jc w:val="center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</w:tbl>
    <w:p>
      <w:pPr>
        <w:jc w:val="both"/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567" w:right="567" w:bottom="567" w:left="1701" w:header="709" w:footer="509" w:gutter="0"/>
      <w:pgNumType w:start="2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606020202030204"/>
  </w:font>
  <w:font w:name="Cambria Math">
    <w:panose1 w:val="02040803050406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77822308"/>
      <w:docPartObj>
        <w:docPartGallery w:val="Page Numbers (Bottom of Page)"/>
        <w:docPartUnique w:val="true"/>
      </w:docPartObj>
      <w:rPr/>
    </w:sdtPr>
    <w:sdtContent>
      <w:p>
        <w:pPr>
          <w:pStyle w:val="670"/>
          <w:jc w:val="right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</w:rPr>
          <w:t xml:space="preserve">9</w:t>
        </w:r>
        <w:r>
          <w:rPr>
            <w:rFonts w:ascii="Times New Roman" w:hAnsi="Times New Roman" w:cs="Times New Roman"/>
            <w:sz w:val="28"/>
          </w:rP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58"/>
    <w:link w:val="657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56"/>
    <w:next w:val="656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58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56"/>
    <w:next w:val="65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5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56"/>
    <w:next w:val="65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5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56"/>
    <w:next w:val="65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5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56"/>
    <w:next w:val="65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5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56"/>
    <w:next w:val="65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5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56"/>
    <w:next w:val="65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5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56"/>
    <w:next w:val="65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58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56"/>
    <w:next w:val="656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58"/>
    <w:link w:val="32"/>
    <w:uiPriority w:val="10"/>
    <w:rPr>
      <w:sz w:val="48"/>
      <w:szCs w:val="48"/>
    </w:rPr>
  </w:style>
  <w:style w:type="paragraph" w:styleId="34">
    <w:name w:val="Subtitle"/>
    <w:basedOn w:val="656"/>
    <w:next w:val="656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58"/>
    <w:link w:val="34"/>
    <w:uiPriority w:val="11"/>
    <w:rPr>
      <w:sz w:val="24"/>
      <w:szCs w:val="24"/>
    </w:rPr>
  </w:style>
  <w:style w:type="paragraph" w:styleId="36">
    <w:name w:val="Quote"/>
    <w:basedOn w:val="656"/>
    <w:next w:val="65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56"/>
    <w:next w:val="65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58"/>
    <w:link w:val="668"/>
    <w:uiPriority w:val="99"/>
  </w:style>
  <w:style w:type="character" w:styleId="43">
    <w:name w:val="Footer Char"/>
    <w:basedOn w:val="658"/>
    <w:link w:val="670"/>
    <w:uiPriority w:val="99"/>
  </w:style>
  <w:style w:type="paragraph" w:styleId="44">
    <w:name w:val="Caption"/>
    <w:basedOn w:val="656"/>
    <w:next w:val="6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70"/>
    <w:uiPriority w:val="99"/>
  </w:style>
  <w:style w:type="table" w:styleId="47">
    <w:name w:val="Table Grid Light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5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58"/>
    <w:uiPriority w:val="99"/>
    <w:unhideWhenUsed/>
    <w:rPr>
      <w:vertAlign w:val="superscript"/>
    </w:rPr>
  </w:style>
  <w:style w:type="paragraph" w:styleId="176">
    <w:name w:val="endnote text"/>
    <w:basedOn w:val="65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58"/>
    <w:uiPriority w:val="99"/>
    <w:semiHidden/>
    <w:unhideWhenUsed/>
    <w:rPr>
      <w:vertAlign w:val="superscript"/>
    </w:rPr>
  </w:style>
  <w:style w:type="paragraph" w:styleId="179">
    <w:name w:val="toc 1"/>
    <w:basedOn w:val="656"/>
    <w:next w:val="65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56"/>
    <w:next w:val="65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56"/>
    <w:next w:val="65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56"/>
    <w:next w:val="65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56"/>
    <w:next w:val="65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56"/>
    <w:next w:val="65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56"/>
    <w:next w:val="65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56"/>
    <w:next w:val="65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56"/>
    <w:next w:val="65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56"/>
    <w:next w:val="656"/>
    <w:uiPriority w:val="99"/>
    <w:unhideWhenUsed/>
    <w:pPr>
      <w:spacing w:after="0" w:afterAutospacing="0"/>
    </w:pPr>
  </w:style>
  <w:style w:type="paragraph" w:styleId="656" w:default="1">
    <w:name w:val="Normal"/>
    <w:qFormat/>
    <w:pPr>
      <w:spacing w:after="200" w:line="276" w:lineRule="auto"/>
    </w:pPr>
  </w:style>
  <w:style w:type="paragraph" w:styleId="657">
    <w:name w:val="Heading 1"/>
    <w:basedOn w:val="656"/>
    <w:next w:val="656"/>
    <w:link w:val="661"/>
    <w:qFormat/>
    <w:pPr>
      <w:jc w:val="center"/>
      <w:spacing w:line="336" w:lineRule="auto"/>
      <w:outlineLvl w:val="0"/>
    </w:pPr>
    <w:rPr>
      <w:rFonts w:ascii="Times New Roman" w:hAnsi="Times New Roman"/>
      <w:b/>
      <w:caps/>
      <w:lang w:val="uk-UA"/>
    </w:rPr>
  </w:style>
  <w:style w:type="character" w:styleId="658" w:default="1">
    <w:name w:val="Default Paragraph Font"/>
    <w:uiPriority w:val="1"/>
    <w:semiHidden/>
    <w:unhideWhenUsed/>
  </w:style>
  <w:style w:type="table" w:styleId="6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0" w:default="1">
    <w:name w:val="No List"/>
    <w:uiPriority w:val="99"/>
    <w:semiHidden/>
    <w:unhideWhenUsed/>
  </w:style>
  <w:style w:type="character" w:styleId="661" w:customStyle="1">
    <w:name w:val="Заголовок 1 Знак"/>
    <w:basedOn w:val="658"/>
    <w:link w:val="657"/>
    <w:rPr>
      <w:rFonts w:ascii="Times New Roman" w:hAnsi="Times New Roman"/>
      <w:b/>
      <w:caps/>
      <w:lang w:val="uk-UA"/>
    </w:rPr>
  </w:style>
  <w:style w:type="paragraph" w:styleId="662">
    <w:name w:val="Normal (Web)"/>
    <w:basedOn w:val="65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character" w:styleId="663">
    <w:name w:val="Placeholder Text"/>
    <w:basedOn w:val="658"/>
    <w:uiPriority w:val="99"/>
    <w:semiHidden/>
    <w:rPr>
      <w:color w:val="808080"/>
    </w:rPr>
  </w:style>
  <w:style w:type="paragraph" w:styleId="664">
    <w:name w:val="List Paragraph"/>
    <w:basedOn w:val="656"/>
    <w:uiPriority w:val="34"/>
    <w:qFormat/>
    <w:pPr>
      <w:contextualSpacing/>
      <w:ind w:left="720"/>
    </w:pPr>
  </w:style>
  <w:style w:type="table" w:styleId="665">
    <w:name w:val="Table Grid"/>
    <w:basedOn w:val="65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6" w:customStyle="1">
    <w:name w:val="Стиль1"/>
    <w:basedOn w:val="656"/>
    <w:pPr>
      <w:ind w:right="-57" w:firstLine="851"/>
      <w:spacing w:after="0" w:line="240" w:lineRule="auto"/>
      <w:tabs>
        <w:tab w:val="left" w:pos="1134" w:leader="none"/>
        <w:tab w:val="left" w:pos="3119" w:leader="none"/>
        <w:tab w:val="left" w:pos="5103" w:leader="none"/>
        <w:tab w:val="left" w:pos="6804" w:leader="none"/>
        <w:tab w:val="left" w:pos="7938" w:leader="none"/>
        <w:tab w:val="left" w:pos="8505" w:leader="none"/>
        <w:tab w:val="left" w:pos="9072" w:leader="none"/>
      </w:tabs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67" w:customStyle="1">
    <w:name w:val="курсовой"/>
    <w:basedOn w:val="656"/>
    <w:pPr>
      <w:ind w:left="170" w:firstLine="737"/>
      <w:spacing w:after="0" w:line="240" w:lineRule="auto"/>
      <w:tabs>
        <w:tab w:val="left" w:pos="1134" w:leader="none"/>
        <w:tab w:val="left" w:pos="3119" w:leader="none"/>
        <w:tab w:val="left" w:pos="5103" w:leader="none"/>
        <w:tab w:val="left" w:pos="6804" w:leader="none"/>
        <w:tab w:val="left" w:pos="7938" w:leader="none"/>
        <w:tab w:val="left" w:pos="8505" w:leader="none"/>
        <w:tab w:val="left" w:pos="9072" w:leader="none"/>
      </w:tabs>
    </w:pPr>
    <w:rPr>
      <w:rFonts w:ascii="Arial" w:hAnsi="Arial" w:cs="Times New Roman" w:eastAsia="Times New Roman"/>
      <w:spacing w:val="20"/>
      <w:sz w:val="24"/>
      <w:szCs w:val="24"/>
      <w:lang w:eastAsia="ru-RU"/>
    </w:rPr>
  </w:style>
  <w:style w:type="paragraph" w:styleId="668">
    <w:name w:val="Header"/>
    <w:basedOn w:val="656"/>
    <w:link w:val="6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9" w:customStyle="1">
    <w:name w:val="Верхний колонтитул Знак"/>
    <w:basedOn w:val="658"/>
    <w:link w:val="668"/>
    <w:uiPriority w:val="99"/>
  </w:style>
  <w:style w:type="paragraph" w:styleId="670">
    <w:name w:val="Footer"/>
    <w:basedOn w:val="656"/>
    <w:link w:val="6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basedOn w:val="658"/>
    <w:link w:val="670"/>
    <w:uiPriority w:val="99"/>
  </w:style>
  <w:style w:type="paragraph" w:styleId="672">
    <w:name w:val="Balloon Text"/>
    <w:basedOn w:val="656"/>
    <w:link w:val="67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73" w:customStyle="1">
    <w:name w:val="Текст выноски Знак"/>
    <w:basedOn w:val="658"/>
    <w:link w:val="67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e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Козицина</dc:creator>
  <cp:keywords/>
  <dc:description/>
  <cp:lastModifiedBy>Маргарита Лебедева</cp:lastModifiedBy>
  <cp:revision>8</cp:revision>
  <dcterms:created xsi:type="dcterms:W3CDTF">2023-01-25T06:47:00Z</dcterms:created>
  <dcterms:modified xsi:type="dcterms:W3CDTF">2023-03-28T13:23:04Z</dcterms:modified>
</cp:coreProperties>
</file>